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EA56" w14:textId="6B5C14DF" w:rsidR="00577BE4" w:rsidRDefault="009127D9" w:rsidP="009127D9">
      <w:pPr>
        <w:jc w:val="center"/>
        <w:rPr>
          <w:b/>
          <w:bCs/>
          <w:sz w:val="32"/>
          <w:szCs w:val="32"/>
        </w:rPr>
      </w:pPr>
      <w:r w:rsidRPr="009127D9">
        <w:rPr>
          <w:b/>
          <w:bCs/>
          <w:sz w:val="32"/>
          <w:szCs w:val="32"/>
        </w:rPr>
        <w:t>Aufstellung der Multiplier Events</w:t>
      </w:r>
      <w:r w:rsidR="002C234E">
        <w:rPr>
          <w:b/>
          <w:bCs/>
          <w:sz w:val="32"/>
          <w:szCs w:val="32"/>
        </w:rPr>
        <w:t xml:space="preserve"> </w:t>
      </w:r>
      <w:r w:rsidR="00BE4CAF">
        <w:rPr>
          <w:b/>
          <w:bCs/>
          <w:sz w:val="32"/>
          <w:szCs w:val="32"/>
        </w:rPr>
        <w:t xml:space="preserve">(M) </w:t>
      </w:r>
      <w:r w:rsidR="002C234E">
        <w:rPr>
          <w:b/>
          <w:bCs/>
          <w:sz w:val="32"/>
          <w:szCs w:val="32"/>
        </w:rPr>
        <w:t>und Projekt-Meetings</w:t>
      </w:r>
      <w:r w:rsidR="00BE4CAF">
        <w:rPr>
          <w:b/>
          <w:bCs/>
          <w:sz w:val="32"/>
          <w:szCs w:val="32"/>
        </w:rPr>
        <w:t xml:space="preserve"> (</w:t>
      </w:r>
      <w:r w:rsidR="005F25DE">
        <w:rPr>
          <w:b/>
          <w:bCs/>
          <w:sz w:val="32"/>
          <w:szCs w:val="32"/>
        </w:rPr>
        <w:t>TN</w:t>
      </w:r>
      <w:r w:rsidR="00BE4CAF">
        <w:rPr>
          <w:b/>
          <w:bCs/>
          <w:sz w:val="32"/>
          <w:szCs w:val="32"/>
        </w:rPr>
        <w:t>P)</w:t>
      </w:r>
    </w:p>
    <w:p w14:paraId="47FCEB99" w14:textId="296B3793" w:rsidR="00BE4CAF" w:rsidRDefault="00BE4CAF" w:rsidP="009127D9">
      <w:pPr>
        <w:jc w:val="center"/>
        <w:rPr>
          <w:b/>
          <w:bCs/>
          <w:sz w:val="32"/>
          <w:szCs w:val="32"/>
        </w:rPr>
      </w:pPr>
      <w:r>
        <w:rPr>
          <w:b/>
          <w:bCs/>
          <w:sz w:val="32"/>
          <w:szCs w:val="32"/>
        </w:rPr>
        <w:t>Projektzeitraum November 2022 – November 2025</w:t>
      </w:r>
    </w:p>
    <w:p w14:paraId="113FCC6F" w14:textId="5792837B" w:rsidR="00BE4CAF" w:rsidRDefault="00BE4CAF" w:rsidP="009127D9">
      <w:pPr>
        <w:jc w:val="center"/>
        <w:rPr>
          <w:b/>
          <w:bCs/>
          <w:sz w:val="32"/>
          <w:szCs w:val="32"/>
        </w:rPr>
      </w:pPr>
    </w:p>
    <w:p w14:paraId="5577AE6B" w14:textId="1A80C73F" w:rsidR="00BE4CAF" w:rsidRPr="00BE4CAF" w:rsidRDefault="00BE4CAF" w:rsidP="00BE4CAF">
      <w:pPr>
        <w:rPr>
          <w:b/>
          <w:bCs/>
        </w:rPr>
      </w:pPr>
      <w:r w:rsidRPr="00BE4CAF">
        <w:rPr>
          <w:b/>
          <w:bCs/>
        </w:rPr>
        <w:t>Projekttreffen</w:t>
      </w:r>
      <w:r w:rsidR="008D68B3">
        <w:rPr>
          <w:b/>
          <w:bCs/>
        </w:rPr>
        <w:t xml:space="preserve"> (TNP – blau)</w:t>
      </w:r>
      <w:r w:rsidRPr="00BE4CAF">
        <w:rPr>
          <w:b/>
          <w:bCs/>
        </w:rPr>
        <w:t>:</w:t>
      </w:r>
    </w:p>
    <w:p w14:paraId="2ACAF8A0" w14:textId="36B4891B" w:rsidR="00BE4CAF" w:rsidRDefault="00BE4CAF" w:rsidP="00BE4CAF">
      <w:r w:rsidRPr="00BE4CAF">
        <w:t>2 Projekttreffen pro Jahr</w:t>
      </w:r>
      <w:r>
        <w:t xml:space="preserve"> (</w:t>
      </w:r>
      <w:r w:rsidR="008D68B3">
        <w:t xml:space="preserve">jeweils im </w:t>
      </w:r>
      <w:r>
        <w:t>März/April bzw. Oktober/November)</w:t>
      </w:r>
      <w:r w:rsidRPr="00BE4CAF">
        <w:t xml:space="preserve">, jeweils von einer anderen Projektorganisation veranstaltet – </w:t>
      </w:r>
      <w:r w:rsidR="008D68B3">
        <w:t xml:space="preserve">ca. </w:t>
      </w:r>
      <w:r w:rsidRPr="00BE4CAF">
        <w:t xml:space="preserve">50 % davon virtuell </w:t>
      </w:r>
    </w:p>
    <w:p w14:paraId="2F08D79D" w14:textId="3DDBF98B" w:rsidR="00BE4CAF" w:rsidRDefault="008D68B3" w:rsidP="00BE4CAF">
      <w:r>
        <w:t>Teilnahme: m</w:t>
      </w:r>
      <w:r w:rsidR="00BE4CAF">
        <w:t>ind. 1 Person pro Institution</w:t>
      </w:r>
    </w:p>
    <w:p w14:paraId="14A1173E" w14:textId="019937FE" w:rsidR="00BE4CAF" w:rsidRDefault="00BE4CAF" w:rsidP="00BE4CAF">
      <w:r>
        <w:t>Ziel</w:t>
      </w:r>
      <w:r w:rsidR="008D68B3">
        <w:t>e der TNPs</w:t>
      </w:r>
      <w:r>
        <w:t>: Vorstellung/</w:t>
      </w:r>
      <w:r w:rsidR="16BE2061">
        <w:t xml:space="preserve"> </w:t>
      </w:r>
      <w:r>
        <w:t>Disseminierung der Zwischenergebnisse, Projektabstimmung, Vor- und Nachbesprechungen der Multiplier-Events, Meilensteinkontrolle</w:t>
      </w:r>
      <w:r w:rsidR="008D68B3">
        <w:t>, Projekt- und Qualitätsmanagement</w:t>
      </w:r>
    </w:p>
    <w:p w14:paraId="42AD7C18" w14:textId="147E6BD4" w:rsidR="00BE4CAF" w:rsidRDefault="00BE4CAF" w:rsidP="00BE4CAF"/>
    <w:p w14:paraId="50FB65F4" w14:textId="2AB361CD" w:rsidR="00BE4CAF" w:rsidRPr="00AF14F1" w:rsidRDefault="00AF14F1" w:rsidP="00BE4CAF">
      <w:pPr>
        <w:rPr>
          <w:b/>
          <w:bCs/>
        </w:rPr>
      </w:pPr>
      <w:r w:rsidRPr="00AF14F1">
        <w:rPr>
          <w:b/>
          <w:bCs/>
        </w:rPr>
        <w:t>Legende:</w:t>
      </w:r>
    </w:p>
    <w:p w14:paraId="3EBBB77C" w14:textId="4205929B" w:rsidR="00AF14F1" w:rsidRDefault="00AF14F1" w:rsidP="00BE4CAF">
      <w:r>
        <w:t>TNP: Transnationale Projekttreffen, blau</w:t>
      </w:r>
    </w:p>
    <w:p w14:paraId="6AD61740" w14:textId="76DBF400" w:rsidR="00AF14F1" w:rsidRPr="00BE4CAF" w:rsidRDefault="00AF14F1" w:rsidP="00BE4CAF">
      <w:r>
        <w:t>M: Multiplier Events, gelb</w:t>
      </w:r>
    </w:p>
    <w:p w14:paraId="07678006" w14:textId="5E2527DC" w:rsidR="008D68B3" w:rsidRDefault="008D68B3">
      <w:r>
        <w:br w:type="page"/>
      </w:r>
    </w:p>
    <w:p w14:paraId="52771D64" w14:textId="77777777" w:rsidR="009127D9" w:rsidRDefault="009127D9"/>
    <w:tbl>
      <w:tblPr>
        <w:tblStyle w:val="Tabellenraster"/>
        <w:tblW w:w="14879" w:type="dxa"/>
        <w:tblLook w:val="04A0" w:firstRow="1" w:lastRow="0" w:firstColumn="1" w:lastColumn="0" w:noHBand="0" w:noVBand="1"/>
      </w:tblPr>
      <w:tblGrid>
        <w:gridCol w:w="738"/>
        <w:gridCol w:w="4740"/>
        <w:gridCol w:w="1629"/>
        <w:gridCol w:w="1546"/>
        <w:gridCol w:w="1275"/>
        <w:gridCol w:w="1290"/>
        <w:gridCol w:w="1310"/>
        <w:gridCol w:w="2351"/>
      </w:tblGrid>
      <w:tr w:rsidR="00D66DE1" w:rsidRPr="009127D9" w14:paraId="23C8C6F4" w14:textId="77777777" w:rsidTr="24817149">
        <w:trPr>
          <w:tblHeader/>
        </w:trPr>
        <w:tc>
          <w:tcPr>
            <w:tcW w:w="738" w:type="dxa"/>
            <w:shd w:val="clear" w:color="auto" w:fill="D9D9D9" w:themeFill="background1" w:themeFillShade="D9"/>
          </w:tcPr>
          <w:p w14:paraId="361AF02F" w14:textId="122C573C" w:rsidR="009127D9" w:rsidRPr="009127D9" w:rsidRDefault="009127D9" w:rsidP="4B162E65">
            <w:pPr>
              <w:rPr>
                <w:b/>
                <w:bCs/>
                <w:sz w:val="20"/>
                <w:szCs w:val="20"/>
              </w:rPr>
            </w:pPr>
            <w:r w:rsidRPr="4B162E65">
              <w:rPr>
                <w:b/>
                <w:bCs/>
                <w:sz w:val="20"/>
                <w:szCs w:val="20"/>
              </w:rPr>
              <w:t>ID/Nr.</w:t>
            </w:r>
          </w:p>
        </w:tc>
        <w:tc>
          <w:tcPr>
            <w:tcW w:w="4740" w:type="dxa"/>
            <w:shd w:val="clear" w:color="auto" w:fill="D9D9D9" w:themeFill="background1" w:themeFillShade="D9"/>
          </w:tcPr>
          <w:p w14:paraId="427D0E9F" w14:textId="19BDA3A8" w:rsidR="009127D9" w:rsidRPr="009127D9" w:rsidRDefault="009127D9" w:rsidP="4B162E65">
            <w:pPr>
              <w:rPr>
                <w:b/>
                <w:bCs/>
                <w:sz w:val="20"/>
                <w:szCs w:val="20"/>
              </w:rPr>
            </w:pPr>
            <w:r w:rsidRPr="4B162E65">
              <w:rPr>
                <w:b/>
                <w:bCs/>
                <w:sz w:val="20"/>
                <w:szCs w:val="20"/>
              </w:rPr>
              <w:t>Event Title/Details</w:t>
            </w:r>
          </w:p>
        </w:tc>
        <w:tc>
          <w:tcPr>
            <w:tcW w:w="1629" w:type="dxa"/>
            <w:shd w:val="clear" w:color="auto" w:fill="D9D9D9" w:themeFill="background1" w:themeFillShade="D9"/>
          </w:tcPr>
          <w:p w14:paraId="52A6B18B" w14:textId="40FDBF0C" w:rsidR="009127D9" w:rsidRPr="009127D9" w:rsidRDefault="009127D9" w:rsidP="4B162E65">
            <w:pPr>
              <w:rPr>
                <w:b/>
                <w:bCs/>
                <w:sz w:val="20"/>
                <w:szCs w:val="20"/>
              </w:rPr>
            </w:pPr>
            <w:r w:rsidRPr="4B162E65">
              <w:rPr>
                <w:b/>
                <w:bCs/>
                <w:sz w:val="20"/>
                <w:szCs w:val="20"/>
              </w:rPr>
              <w:t>Veranstalter</w:t>
            </w:r>
          </w:p>
        </w:tc>
        <w:tc>
          <w:tcPr>
            <w:tcW w:w="1546" w:type="dxa"/>
            <w:shd w:val="clear" w:color="auto" w:fill="D9D9D9" w:themeFill="background1" w:themeFillShade="D9"/>
          </w:tcPr>
          <w:p w14:paraId="5FF5FBC8" w14:textId="6FF4382B" w:rsidR="009127D9" w:rsidRPr="009127D9" w:rsidRDefault="009127D9" w:rsidP="4B162E65">
            <w:pPr>
              <w:rPr>
                <w:b/>
                <w:bCs/>
                <w:sz w:val="20"/>
                <w:szCs w:val="20"/>
              </w:rPr>
            </w:pPr>
            <w:r w:rsidRPr="4B162E65">
              <w:rPr>
                <w:b/>
                <w:bCs/>
                <w:sz w:val="20"/>
                <w:szCs w:val="20"/>
              </w:rPr>
              <w:t>Art des Events</w:t>
            </w:r>
          </w:p>
        </w:tc>
        <w:tc>
          <w:tcPr>
            <w:tcW w:w="1275" w:type="dxa"/>
            <w:shd w:val="clear" w:color="auto" w:fill="D9D9D9" w:themeFill="background1" w:themeFillShade="D9"/>
          </w:tcPr>
          <w:p w14:paraId="57B97DA4" w14:textId="746CC330" w:rsidR="009127D9" w:rsidRPr="009127D9" w:rsidRDefault="002B025B" w:rsidP="4B162E65">
            <w:pPr>
              <w:rPr>
                <w:b/>
                <w:bCs/>
                <w:sz w:val="20"/>
                <w:szCs w:val="20"/>
              </w:rPr>
            </w:pPr>
            <w:r>
              <w:rPr>
                <w:b/>
                <w:bCs/>
                <w:sz w:val="20"/>
                <w:szCs w:val="20"/>
              </w:rPr>
              <w:t xml:space="preserve">Target </w:t>
            </w:r>
            <w:r w:rsidR="009127D9" w:rsidRPr="4B162E65">
              <w:rPr>
                <w:b/>
                <w:bCs/>
                <w:sz w:val="20"/>
                <w:szCs w:val="20"/>
              </w:rPr>
              <w:t>Local</w:t>
            </w:r>
          </w:p>
          <w:p w14:paraId="7AC92323" w14:textId="35229144" w:rsidR="009127D9" w:rsidRPr="009127D9" w:rsidRDefault="009127D9" w:rsidP="4B162E65">
            <w:pPr>
              <w:rPr>
                <w:b/>
                <w:bCs/>
                <w:sz w:val="20"/>
                <w:szCs w:val="20"/>
              </w:rPr>
            </w:pPr>
            <w:r w:rsidRPr="4B162E65">
              <w:rPr>
                <w:b/>
                <w:bCs/>
                <w:sz w:val="20"/>
                <w:szCs w:val="20"/>
              </w:rPr>
              <w:t>Participants</w:t>
            </w:r>
          </w:p>
        </w:tc>
        <w:tc>
          <w:tcPr>
            <w:tcW w:w="1290" w:type="dxa"/>
            <w:shd w:val="clear" w:color="auto" w:fill="D9D9D9" w:themeFill="background1" w:themeFillShade="D9"/>
          </w:tcPr>
          <w:p w14:paraId="7F14406A" w14:textId="308B0F98" w:rsidR="009127D9" w:rsidRPr="009127D9" w:rsidRDefault="002B025B" w:rsidP="4B162E65">
            <w:pPr>
              <w:rPr>
                <w:b/>
                <w:bCs/>
                <w:sz w:val="20"/>
                <w:szCs w:val="20"/>
              </w:rPr>
            </w:pPr>
            <w:r>
              <w:rPr>
                <w:b/>
                <w:bCs/>
                <w:sz w:val="20"/>
                <w:szCs w:val="20"/>
              </w:rPr>
              <w:t xml:space="preserve">Target </w:t>
            </w:r>
            <w:r w:rsidR="009127D9" w:rsidRPr="4B162E65">
              <w:rPr>
                <w:b/>
                <w:bCs/>
                <w:sz w:val="20"/>
                <w:szCs w:val="20"/>
              </w:rPr>
              <w:t>Foreign</w:t>
            </w:r>
          </w:p>
          <w:p w14:paraId="1155DCBF" w14:textId="190C489E" w:rsidR="009127D9" w:rsidRPr="009127D9" w:rsidRDefault="009127D9" w:rsidP="4B162E65">
            <w:pPr>
              <w:rPr>
                <w:b/>
                <w:bCs/>
                <w:sz w:val="20"/>
                <w:szCs w:val="20"/>
              </w:rPr>
            </w:pPr>
            <w:r w:rsidRPr="4B162E65">
              <w:rPr>
                <w:b/>
                <w:bCs/>
                <w:sz w:val="20"/>
                <w:szCs w:val="20"/>
              </w:rPr>
              <w:t>Participants</w:t>
            </w:r>
          </w:p>
        </w:tc>
        <w:tc>
          <w:tcPr>
            <w:tcW w:w="1310" w:type="dxa"/>
            <w:shd w:val="clear" w:color="auto" w:fill="D9D9D9" w:themeFill="background1" w:themeFillShade="D9"/>
          </w:tcPr>
          <w:p w14:paraId="75219544" w14:textId="6FE367E7" w:rsidR="009127D9" w:rsidRPr="009127D9" w:rsidRDefault="002B025B" w:rsidP="4B162E65">
            <w:pPr>
              <w:rPr>
                <w:b/>
                <w:bCs/>
                <w:sz w:val="20"/>
                <w:szCs w:val="20"/>
              </w:rPr>
            </w:pPr>
            <w:r>
              <w:rPr>
                <w:b/>
                <w:bCs/>
                <w:sz w:val="20"/>
                <w:szCs w:val="20"/>
              </w:rPr>
              <w:t xml:space="preserve">Target </w:t>
            </w:r>
            <w:r w:rsidR="009127D9" w:rsidRPr="4B162E65">
              <w:rPr>
                <w:b/>
                <w:bCs/>
                <w:sz w:val="20"/>
                <w:szCs w:val="20"/>
              </w:rPr>
              <w:t>Virtual</w:t>
            </w:r>
          </w:p>
          <w:p w14:paraId="26023593" w14:textId="06EC5397" w:rsidR="009127D9" w:rsidRPr="009127D9" w:rsidRDefault="009127D9" w:rsidP="4B162E65">
            <w:pPr>
              <w:rPr>
                <w:b/>
                <w:bCs/>
                <w:sz w:val="20"/>
                <w:szCs w:val="20"/>
              </w:rPr>
            </w:pPr>
            <w:r w:rsidRPr="4B162E65">
              <w:rPr>
                <w:b/>
                <w:bCs/>
                <w:sz w:val="20"/>
                <w:szCs w:val="20"/>
              </w:rPr>
              <w:t>Participants</w:t>
            </w:r>
          </w:p>
        </w:tc>
        <w:tc>
          <w:tcPr>
            <w:tcW w:w="2351" w:type="dxa"/>
            <w:shd w:val="clear" w:color="auto" w:fill="D9D9D9" w:themeFill="background1" w:themeFillShade="D9"/>
          </w:tcPr>
          <w:p w14:paraId="3DCE05FE" w14:textId="270E4D93" w:rsidR="009127D9" w:rsidRPr="009127D9" w:rsidRDefault="002C234E" w:rsidP="4B162E65">
            <w:pPr>
              <w:rPr>
                <w:b/>
                <w:bCs/>
                <w:sz w:val="20"/>
                <w:szCs w:val="20"/>
              </w:rPr>
            </w:pPr>
            <w:r w:rsidRPr="69FEA18A">
              <w:rPr>
                <w:b/>
                <w:bCs/>
                <w:sz w:val="20"/>
                <w:szCs w:val="20"/>
              </w:rPr>
              <w:t>Termin</w:t>
            </w:r>
          </w:p>
        </w:tc>
      </w:tr>
      <w:tr w:rsidR="00092078" w14:paraId="12A447C1" w14:textId="77777777" w:rsidTr="24817149">
        <w:tc>
          <w:tcPr>
            <w:tcW w:w="738" w:type="dxa"/>
            <w:shd w:val="clear" w:color="auto" w:fill="DEEAF6" w:themeFill="accent5" w:themeFillTint="33"/>
          </w:tcPr>
          <w:p w14:paraId="6AD2A44B" w14:textId="0BED1BE5" w:rsidR="00BE4CAF" w:rsidRDefault="005F25DE">
            <w:r>
              <w:t>TN</w:t>
            </w:r>
            <w:r w:rsidR="00BE4CAF">
              <w:t>P 1</w:t>
            </w:r>
          </w:p>
        </w:tc>
        <w:tc>
          <w:tcPr>
            <w:tcW w:w="4740" w:type="dxa"/>
            <w:shd w:val="clear" w:color="auto" w:fill="DEEAF6" w:themeFill="accent5" w:themeFillTint="33"/>
          </w:tcPr>
          <w:p w14:paraId="2DF5AF95" w14:textId="3EEBB941" w:rsidR="00BE4CAF" w:rsidRDefault="2E517344">
            <w:r>
              <w:t>Projekt Kick Off – konzeptuelle Grundlegung</w:t>
            </w:r>
            <w:r w:rsidR="53CF6882">
              <w:t xml:space="preserve"> WP 1/Teil 1</w:t>
            </w:r>
            <w:r w:rsidR="76A8B6DA">
              <w:t xml:space="preserve"> - Projektdetailplanung</w:t>
            </w:r>
          </w:p>
        </w:tc>
        <w:tc>
          <w:tcPr>
            <w:tcW w:w="1629" w:type="dxa"/>
            <w:shd w:val="clear" w:color="auto" w:fill="DEEAF6" w:themeFill="accent5" w:themeFillTint="33"/>
          </w:tcPr>
          <w:p w14:paraId="26A97258" w14:textId="2B4C4BE0" w:rsidR="00770360" w:rsidRDefault="00770360">
            <w:r>
              <w:t>Österreich</w:t>
            </w:r>
          </w:p>
          <w:p w14:paraId="455DB4FB" w14:textId="73DBADF7" w:rsidR="00BE4CAF" w:rsidRDefault="6E4021AF" w:rsidP="1CD7F106">
            <w:pPr>
              <w:spacing w:line="259" w:lineRule="auto"/>
            </w:pPr>
            <w:r>
              <w:t>EKUZ</w:t>
            </w:r>
          </w:p>
        </w:tc>
        <w:tc>
          <w:tcPr>
            <w:tcW w:w="1546" w:type="dxa"/>
            <w:shd w:val="clear" w:color="auto" w:fill="DEEAF6" w:themeFill="accent5" w:themeFillTint="33"/>
          </w:tcPr>
          <w:p w14:paraId="36F4D075" w14:textId="07F90CCC" w:rsidR="00BE4CAF" w:rsidRDefault="00BE4CAF">
            <w:r>
              <w:t>Präsenz</w:t>
            </w:r>
          </w:p>
        </w:tc>
        <w:tc>
          <w:tcPr>
            <w:tcW w:w="1275" w:type="dxa"/>
            <w:shd w:val="clear" w:color="auto" w:fill="DEEAF6" w:themeFill="accent5" w:themeFillTint="33"/>
          </w:tcPr>
          <w:p w14:paraId="68EDF916" w14:textId="1C312E82" w:rsidR="00BE4CAF" w:rsidRDefault="00BE4CAF"/>
        </w:tc>
        <w:tc>
          <w:tcPr>
            <w:tcW w:w="1290" w:type="dxa"/>
            <w:shd w:val="clear" w:color="auto" w:fill="DEEAF6" w:themeFill="accent5" w:themeFillTint="33"/>
          </w:tcPr>
          <w:p w14:paraId="0C79A001" w14:textId="2D0EE347" w:rsidR="00BE4CAF" w:rsidRDefault="00BE4CAF"/>
        </w:tc>
        <w:tc>
          <w:tcPr>
            <w:tcW w:w="1310" w:type="dxa"/>
            <w:shd w:val="clear" w:color="auto" w:fill="DEEAF6" w:themeFill="accent5" w:themeFillTint="33"/>
          </w:tcPr>
          <w:p w14:paraId="30FC0621" w14:textId="3530D328" w:rsidR="00BE4CAF" w:rsidRDefault="00BE4CAF"/>
        </w:tc>
        <w:tc>
          <w:tcPr>
            <w:tcW w:w="2351" w:type="dxa"/>
            <w:shd w:val="clear" w:color="auto" w:fill="DEEAF6" w:themeFill="accent5" w:themeFillTint="33"/>
          </w:tcPr>
          <w:p w14:paraId="7F5FD9A0" w14:textId="14012431" w:rsidR="00BE4CAF" w:rsidRDefault="0072531B">
            <w:r>
              <w:t>13.-15.November 2023</w:t>
            </w:r>
          </w:p>
          <w:p w14:paraId="4F83E991" w14:textId="7E5C0747" w:rsidR="00BE4CAF" w:rsidRDefault="00BE4CAF" w:rsidP="47DDB005">
            <w:pPr>
              <w:spacing w:line="259" w:lineRule="auto"/>
            </w:pPr>
          </w:p>
        </w:tc>
      </w:tr>
      <w:tr w:rsidR="00BB3A5A" w14:paraId="2B1C077C" w14:textId="77777777" w:rsidTr="24817149">
        <w:tc>
          <w:tcPr>
            <w:tcW w:w="738" w:type="dxa"/>
            <w:shd w:val="clear" w:color="auto" w:fill="DEEAF6" w:themeFill="accent5" w:themeFillTint="33"/>
          </w:tcPr>
          <w:p w14:paraId="06222CCC" w14:textId="02E98FF2" w:rsidR="00770360" w:rsidRDefault="005F25DE">
            <w:r>
              <w:t>TN</w:t>
            </w:r>
            <w:r w:rsidR="00770360">
              <w:t>P2</w:t>
            </w:r>
          </w:p>
        </w:tc>
        <w:tc>
          <w:tcPr>
            <w:tcW w:w="4740" w:type="dxa"/>
            <w:shd w:val="clear" w:color="auto" w:fill="DEEAF6" w:themeFill="accent5" w:themeFillTint="33"/>
          </w:tcPr>
          <w:p w14:paraId="39A2CB78" w14:textId="4B23983B" w:rsidR="00770360" w:rsidRDefault="2E517344">
            <w:r>
              <w:t>Konzeption</w:t>
            </w:r>
            <w:r w:rsidR="0537EA5B">
              <w:t xml:space="preserve"> </w:t>
            </w:r>
            <w:r w:rsidR="0537EA5B" w:rsidRPr="58059EBE">
              <w:rPr>
                <w:i/>
                <w:iCs/>
              </w:rPr>
              <w:t>CNL Manual Part 2</w:t>
            </w:r>
            <w:r w:rsidR="0537EA5B">
              <w:t>,</w:t>
            </w:r>
            <w:r>
              <w:t xml:space="preserve"> </w:t>
            </w:r>
            <w:r w:rsidRPr="58059EBE">
              <w:rPr>
                <w:i/>
                <w:iCs/>
              </w:rPr>
              <w:t>Lernszenarien und Text-Bild-Narratio</w:t>
            </w:r>
            <w:r>
              <w:t xml:space="preserve">n, Zwischenergebnisse, Vorstellung </w:t>
            </w:r>
            <w:r w:rsidRPr="58059EBE">
              <w:rPr>
                <w:i/>
                <w:iCs/>
              </w:rPr>
              <w:t>WP 1</w:t>
            </w:r>
            <w:r w:rsidR="701F9891" w:rsidRPr="58059EBE">
              <w:rPr>
                <w:i/>
                <w:iCs/>
              </w:rPr>
              <w:t xml:space="preserve"> Teil 1</w:t>
            </w:r>
            <w:r>
              <w:t xml:space="preserve">, Planung Multiplier-Event </w:t>
            </w:r>
            <w:r w:rsidR="228B38F2">
              <w:t xml:space="preserve">M 1 </w:t>
            </w:r>
            <w:r>
              <w:t>im Oktober</w:t>
            </w:r>
            <w:r w:rsidR="228B38F2">
              <w:t>/November</w:t>
            </w:r>
            <w:r>
              <w:t xml:space="preserve"> 202</w:t>
            </w:r>
            <w:r w:rsidR="228B38F2">
              <w:t>3</w:t>
            </w:r>
          </w:p>
          <w:p w14:paraId="681D4E78" w14:textId="79B4C0E4" w:rsidR="00770360" w:rsidRDefault="0DA3E5DD" w:rsidP="58059EBE">
            <w:r>
              <w:t>Arbeitsgruppen für die WPs lt. Projektplan</w:t>
            </w:r>
          </w:p>
        </w:tc>
        <w:tc>
          <w:tcPr>
            <w:tcW w:w="1629" w:type="dxa"/>
            <w:shd w:val="clear" w:color="auto" w:fill="DEEAF6" w:themeFill="accent5" w:themeFillTint="33"/>
          </w:tcPr>
          <w:p w14:paraId="5A0604F3" w14:textId="77777777" w:rsidR="00770360" w:rsidRDefault="00770360">
            <w:r>
              <w:t>Deutschland</w:t>
            </w:r>
          </w:p>
          <w:p w14:paraId="475852EB" w14:textId="6238582B" w:rsidR="00770360" w:rsidRDefault="00770360">
            <w:r>
              <w:t>Uni Siegen</w:t>
            </w:r>
          </w:p>
        </w:tc>
        <w:tc>
          <w:tcPr>
            <w:tcW w:w="1546" w:type="dxa"/>
            <w:shd w:val="clear" w:color="auto" w:fill="DEEAF6" w:themeFill="accent5" w:themeFillTint="33"/>
          </w:tcPr>
          <w:p w14:paraId="2271EED8" w14:textId="48FC2213" w:rsidR="00770360" w:rsidRDefault="00B91014">
            <w:r>
              <w:t>Virtuell</w:t>
            </w:r>
          </w:p>
        </w:tc>
        <w:tc>
          <w:tcPr>
            <w:tcW w:w="1275" w:type="dxa"/>
            <w:shd w:val="clear" w:color="auto" w:fill="DEEAF6" w:themeFill="accent5" w:themeFillTint="33"/>
          </w:tcPr>
          <w:p w14:paraId="07E49669" w14:textId="77777777" w:rsidR="00770360" w:rsidRDefault="00770360"/>
        </w:tc>
        <w:tc>
          <w:tcPr>
            <w:tcW w:w="1290" w:type="dxa"/>
            <w:shd w:val="clear" w:color="auto" w:fill="DEEAF6" w:themeFill="accent5" w:themeFillTint="33"/>
          </w:tcPr>
          <w:p w14:paraId="676AE7A0" w14:textId="77777777" w:rsidR="00770360" w:rsidRDefault="00770360"/>
        </w:tc>
        <w:tc>
          <w:tcPr>
            <w:tcW w:w="1310" w:type="dxa"/>
            <w:shd w:val="clear" w:color="auto" w:fill="DEEAF6" w:themeFill="accent5" w:themeFillTint="33"/>
          </w:tcPr>
          <w:p w14:paraId="0B44C8C8" w14:textId="77777777" w:rsidR="00770360" w:rsidRDefault="00770360"/>
        </w:tc>
        <w:tc>
          <w:tcPr>
            <w:tcW w:w="2351" w:type="dxa"/>
            <w:shd w:val="clear" w:color="auto" w:fill="DEEAF6" w:themeFill="accent5" w:themeFillTint="33"/>
          </w:tcPr>
          <w:p w14:paraId="68D76A75" w14:textId="32AF779C" w:rsidR="00770360" w:rsidRDefault="0072531B">
            <w:r>
              <w:t>12.-14.</w:t>
            </w:r>
            <w:r w:rsidR="00770360">
              <w:t xml:space="preserve"> April 2023</w:t>
            </w:r>
          </w:p>
        </w:tc>
      </w:tr>
      <w:tr w:rsidR="00BB3A5A" w14:paraId="2DA47964" w14:textId="77777777" w:rsidTr="24817149">
        <w:tc>
          <w:tcPr>
            <w:tcW w:w="738" w:type="dxa"/>
            <w:shd w:val="clear" w:color="auto" w:fill="DEEAF6" w:themeFill="accent5" w:themeFillTint="33"/>
          </w:tcPr>
          <w:p w14:paraId="7AB817BE" w14:textId="2AC2E1A6" w:rsidR="00770360" w:rsidRDefault="005F25DE">
            <w:r>
              <w:t>TN</w:t>
            </w:r>
            <w:r w:rsidR="00770360">
              <w:t>P 3</w:t>
            </w:r>
          </w:p>
        </w:tc>
        <w:tc>
          <w:tcPr>
            <w:tcW w:w="4740" w:type="dxa"/>
            <w:shd w:val="clear" w:color="auto" w:fill="DEEAF6" w:themeFill="accent5" w:themeFillTint="33"/>
          </w:tcPr>
          <w:p w14:paraId="7FB24F1D" w14:textId="77777777" w:rsidR="00770360" w:rsidRDefault="2E517344">
            <w:r w:rsidRPr="58059EBE">
              <w:rPr>
                <w:i/>
                <w:iCs/>
              </w:rPr>
              <w:t>Lernszenarien</w:t>
            </w:r>
            <w:r w:rsidR="40D200D2" w:rsidRPr="58059EBE">
              <w:rPr>
                <w:i/>
                <w:iCs/>
              </w:rPr>
              <w:t xml:space="preserve"> und CNL Plattform WP 2</w:t>
            </w:r>
            <w:r w:rsidRPr="58059EBE">
              <w:rPr>
                <w:i/>
                <w:iCs/>
              </w:rPr>
              <w:t xml:space="preserve">, </w:t>
            </w:r>
            <w:r w:rsidR="7D932F33" w:rsidRPr="58059EBE">
              <w:rPr>
                <w:i/>
                <w:iCs/>
              </w:rPr>
              <w:t xml:space="preserve">WP 3 </w:t>
            </w:r>
            <w:r w:rsidRPr="58059EBE">
              <w:rPr>
                <w:i/>
                <w:iCs/>
              </w:rPr>
              <w:t>MOOC und Begleitforschung</w:t>
            </w:r>
            <w:r>
              <w:t>, Vorstellung Zwischenergebnisse, Vor- und Nachbesprechung M 1</w:t>
            </w:r>
          </w:p>
          <w:p w14:paraId="0373BEE0" w14:textId="08100DF7" w:rsidR="00E31019" w:rsidRPr="00E31019" w:rsidRDefault="00E31019">
            <w:pPr>
              <w:rPr>
                <w:lang w:val="en-GB"/>
              </w:rPr>
            </w:pPr>
            <w:r w:rsidRPr="00E31019">
              <w:rPr>
                <w:lang w:val="en-GB"/>
              </w:rPr>
              <w:t>Quality Board Meeting Abnahme W</w:t>
            </w:r>
            <w:r>
              <w:rPr>
                <w:lang w:val="en-GB"/>
              </w:rPr>
              <w:t>P1</w:t>
            </w:r>
          </w:p>
        </w:tc>
        <w:tc>
          <w:tcPr>
            <w:tcW w:w="1629" w:type="dxa"/>
            <w:shd w:val="clear" w:color="auto" w:fill="DEEAF6" w:themeFill="accent5" w:themeFillTint="33"/>
          </w:tcPr>
          <w:p w14:paraId="3E6F6959" w14:textId="77777777" w:rsidR="00770360" w:rsidRDefault="00770360">
            <w:r>
              <w:t>Deutschland</w:t>
            </w:r>
          </w:p>
          <w:p w14:paraId="0A6E4BC1" w14:textId="329632EB" w:rsidR="00770360" w:rsidRDefault="00770360">
            <w:r>
              <w:t>LMU</w:t>
            </w:r>
          </w:p>
        </w:tc>
        <w:tc>
          <w:tcPr>
            <w:tcW w:w="1546" w:type="dxa"/>
            <w:shd w:val="clear" w:color="auto" w:fill="DEEAF6" w:themeFill="accent5" w:themeFillTint="33"/>
          </w:tcPr>
          <w:p w14:paraId="445CDD51" w14:textId="39FE8C67" w:rsidR="00770360" w:rsidRDefault="002023B4">
            <w:r>
              <w:t>Präsenz</w:t>
            </w:r>
          </w:p>
        </w:tc>
        <w:tc>
          <w:tcPr>
            <w:tcW w:w="1275" w:type="dxa"/>
            <w:shd w:val="clear" w:color="auto" w:fill="DEEAF6" w:themeFill="accent5" w:themeFillTint="33"/>
          </w:tcPr>
          <w:p w14:paraId="39A33ABA" w14:textId="77777777" w:rsidR="00770360" w:rsidRDefault="00770360"/>
        </w:tc>
        <w:tc>
          <w:tcPr>
            <w:tcW w:w="1290" w:type="dxa"/>
            <w:shd w:val="clear" w:color="auto" w:fill="DEEAF6" w:themeFill="accent5" w:themeFillTint="33"/>
          </w:tcPr>
          <w:p w14:paraId="4610C44B" w14:textId="77777777" w:rsidR="00770360" w:rsidRDefault="00770360"/>
        </w:tc>
        <w:tc>
          <w:tcPr>
            <w:tcW w:w="1310" w:type="dxa"/>
            <w:shd w:val="clear" w:color="auto" w:fill="DEEAF6" w:themeFill="accent5" w:themeFillTint="33"/>
          </w:tcPr>
          <w:p w14:paraId="0C47391B" w14:textId="77777777" w:rsidR="00770360" w:rsidRDefault="00770360"/>
        </w:tc>
        <w:tc>
          <w:tcPr>
            <w:tcW w:w="2351" w:type="dxa"/>
            <w:shd w:val="clear" w:color="auto" w:fill="DEEAF6" w:themeFill="accent5" w:themeFillTint="33"/>
          </w:tcPr>
          <w:p w14:paraId="23667BB4" w14:textId="6556E369" w:rsidR="00770360" w:rsidRDefault="0072531B">
            <w:r>
              <w:t>18.-20.10.2023</w:t>
            </w:r>
          </w:p>
        </w:tc>
      </w:tr>
      <w:tr w:rsidR="00092078" w14:paraId="50A0D492" w14:textId="77777777" w:rsidTr="24817149">
        <w:tc>
          <w:tcPr>
            <w:tcW w:w="738" w:type="dxa"/>
            <w:shd w:val="clear" w:color="auto" w:fill="FFF2CC" w:themeFill="accent4" w:themeFillTint="33"/>
          </w:tcPr>
          <w:p w14:paraId="17660AB6" w14:textId="20324456" w:rsidR="009127D9" w:rsidRDefault="00BE4CAF">
            <w:r>
              <w:t xml:space="preserve">M </w:t>
            </w:r>
            <w:r w:rsidR="002C234E">
              <w:t>1</w:t>
            </w:r>
          </w:p>
        </w:tc>
        <w:tc>
          <w:tcPr>
            <w:tcW w:w="4740" w:type="dxa"/>
            <w:shd w:val="clear" w:color="auto" w:fill="FFF2CC" w:themeFill="accent4" w:themeFillTint="33"/>
          </w:tcPr>
          <w:p w14:paraId="0CAD0AFC" w14:textId="130CED13" w:rsidR="009127D9" w:rsidRDefault="002C234E">
            <w:r>
              <w:t>CultureNature Litera</w:t>
            </w:r>
            <w:r w:rsidR="175CCFB5">
              <w:t>c</w:t>
            </w:r>
            <w:r>
              <w:t>y (CNL): Kulturelle Nachhaltigkeit als transformatives Bildungskonzept</w:t>
            </w:r>
            <w:r w:rsidR="00FC7A97">
              <w:t>,</w:t>
            </w:r>
          </w:p>
          <w:p w14:paraId="5BCF8C96" w14:textId="313216E7" w:rsidR="005F7048" w:rsidRDefault="1F344816" w:rsidP="2A2C655A">
            <w:pPr>
              <w:rPr>
                <w:i/>
                <w:iCs/>
              </w:rPr>
            </w:pPr>
            <w:r>
              <w:t xml:space="preserve">Vorstellung Projekt und Projektpartner*innen, Vorstellung und Workshop zu </w:t>
            </w:r>
            <w:r w:rsidR="2D102550" w:rsidRPr="2A2C655A">
              <w:rPr>
                <w:i/>
                <w:iCs/>
              </w:rPr>
              <w:t>WP</w:t>
            </w:r>
            <w:r w:rsidRPr="2A2C655A">
              <w:rPr>
                <w:i/>
                <w:iCs/>
              </w:rPr>
              <w:t xml:space="preserve"> 1 </w:t>
            </w:r>
            <w:r w:rsidR="7FFB1825" w:rsidRPr="2A2C655A">
              <w:rPr>
                <w:i/>
                <w:iCs/>
              </w:rPr>
              <w:t xml:space="preserve">Handbuch </w:t>
            </w:r>
            <w:r w:rsidR="541717A9" w:rsidRPr="2A2C655A">
              <w:rPr>
                <w:i/>
                <w:iCs/>
              </w:rPr>
              <w:t>Teil 1</w:t>
            </w:r>
            <w:r w:rsidR="79E25867" w:rsidRPr="2A2C655A">
              <w:rPr>
                <w:i/>
                <w:iCs/>
              </w:rPr>
              <w:t xml:space="preserve">, </w:t>
            </w:r>
            <w:r w:rsidR="00134E58">
              <w:rPr>
                <w:i/>
                <w:iCs/>
              </w:rPr>
              <w:t xml:space="preserve">CNL </w:t>
            </w:r>
            <w:r w:rsidR="02FB135F" w:rsidRPr="2A2C655A">
              <w:rPr>
                <w:i/>
                <w:iCs/>
              </w:rPr>
              <w:t xml:space="preserve">Handbuch </w:t>
            </w:r>
            <w:r w:rsidR="79E25867" w:rsidRPr="2A2C655A">
              <w:rPr>
                <w:i/>
                <w:iCs/>
              </w:rPr>
              <w:t>Teil 2</w:t>
            </w:r>
            <w:r w:rsidR="00134E58">
              <w:rPr>
                <w:i/>
                <w:iCs/>
              </w:rPr>
              <w:t>, bisheriger Stand WP 2, ausgewählte Lernszenarien</w:t>
            </w:r>
          </w:p>
          <w:p w14:paraId="228F658D" w14:textId="5FB44B13" w:rsidR="58059EBE" w:rsidRDefault="58059EBE" w:rsidP="58059EBE">
            <w:pPr>
              <w:rPr>
                <w:i/>
                <w:iCs/>
              </w:rPr>
            </w:pPr>
          </w:p>
          <w:p w14:paraId="77AE251A" w14:textId="77777777" w:rsidR="00092078" w:rsidRDefault="005F7048">
            <w:r w:rsidRPr="005F7048">
              <w:rPr>
                <w:b/>
                <w:bCs/>
              </w:rPr>
              <w:t>Zielgruppen:</w:t>
            </w:r>
            <w:r>
              <w:t xml:space="preserve"> </w:t>
            </w:r>
          </w:p>
          <w:p w14:paraId="2C92DF2E" w14:textId="68EA182B" w:rsidR="005F7048" w:rsidRDefault="005F7048">
            <w:r>
              <w:t xml:space="preserve">Lehrende in der universitären und hochschulischen Lehrerbildung, Lehrkräfte aller Schulformen, die sich im Rahmen ihres fachlichen Unterrichts mit Themenfeldern kultureller Nachhaltigkeit auseinandersetzen. Gesamteuropäisch. Alle Partnerorganisationen laden über ihre Netzwerke zur Teilnahme ein. </w:t>
            </w:r>
          </w:p>
          <w:p w14:paraId="298DE869" w14:textId="77777777" w:rsidR="005F7048" w:rsidRDefault="005F7048"/>
          <w:p w14:paraId="6015E336" w14:textId="5B3D7634" w:rsidR="005F7048" w:rsidRPr="00134E58" w:rsidRDefault="00134E58" w:rsidP="19DFBBAA">
            <w:pPr>
              <w:rPr>
                <w:b/>
                <w:bCs/>
              </w:rPr>
            </w:pPr>
            <w:r w:rsidRPr="00134E58">
              <w:rPr>
                <w:b/>
                <w:bCs/>
              </w:rPr>
              <w:lastRenderedPageBreak/>
              <w:t>Vorträge</w:t>
            </w:r>
            <w:r>
              <w:rPr>
                <w:b/>
                <w:bCs/>
              </w:rPr>
              <w:t xml:space="preserve"> und Keynotes</w:t>
            </w:r>
            <w:r w:rsidRPr="00134E58">
              <w:rPr>
                <w:b/>
                <w:bCs/>
              </w:rPr>
              <w:t>:</w:t>
            </w:r>
          </w:p>
          <w:p w14:paraId="49899FBA" w14:textId="03F76D6B" w:rsidR="00134E58" w:rsidRDefault="00134E58" w:rsidP="19DFBBAA">
            <w:r w:rsidRPr="00134E58">
              <w:t>CultureNature Literacy: Schulische Schlüsselkompetenzen für Zukunftsgestaltung im Anthropozän (Carmen Sippl &amp; Projektpartner) </w:t>
            </w:r>
          </w:p>
          <w:p w14:paraId="22393C95" w14:textId="77777777" w:rsidR="00134E58" w:rsidRDefault="00134E58" w:rsidP="19DFBBAA"/>
          <w:p w14:paraId="0B3AC0D5" w14:textId="77777777" w:rsidR="00134E58" w:rsidRDefault="00134E58" w:rsidP="00134E5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de-DE"/>
              </w:rPr>
              <w:t xml:space="preserve">Keynote 1: </w:t>
            </w:r>
            <w:r>
              <w:rPr>
                <w:rStyle w:val="normaltextrun"/>
                <w:rFonts w:ascii="Calibri" w:hAnsi="Calibri" w:cs="Calibri"/>
                <w:b/>
                <w:bCs/>
                <w:sz w:val="22"/>
                <w:szCs w:val="22"/>
                <w:lang w:val="de-DE"/>
              </w:rPr>
              <w:t>Reinhold Leinfelder</w:t>
            </w:r>
            <w:r>
              <w:rPr>
                <w:rStyle w:val="normaltextrun"/>
                <w:rFonts w:ascii="Calibri" w:hAnsi="Calibri" w:cs="Calibri"/>
                <w:b/>
                <w:bCs/>
                <w:sz w:val="22"/>
                <w:szCs w:val="22"/>
              </w:rPr>
              <w:t xml:space="preserve">, </w:t>
            </w:r>
            <w:r>
              <w:rPr>
                <w:rStyle w:val="normaltextrun"/>
                <w:rFonts w:ascii="Calibri" w:hAnsi="Calibri" w:cs="Calibri"/>
                <w:b/>
                <w:bCs/>
                <w:i/>
                <w:iCs/>
                <w:sz w:val="22"/>
                <w:szCs w:val="22"/>
              </w:rPr>
              <w:t>CultureNature Literacy als integratives Bildungskonzept für das Anthropozän</w:t>
            </w:r>
            <w:r>
              <w:rPr>
                <w:rStyle w:val="eop"/>
                <w:rFonts w:ascii="Calibri" w:hAnsi="Calibri" w:cs="Calibri"/>
                <w:sz w:val="22"/>
                <w:szCs w:val="22"/>
              </w:rPr>
              <w:t> </w:t>
            </w:r>
          </w:p>
          <w:p w14:paraId="68047149" w14:textId="77777777" w:rsidR="00134E58" w:rsidRDefault="00134E58" w:rsidP="00134E5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Die Keynote zeigt das Potenzial des Anthropozän-Konzepts, um jenseits des Natur-Kultur-Dualismus den Menschen als integrativen Teil des Erdsystems zu begreifen und im Unterricht durch Erzählungen, Visualisierungen, partizipative Projekte zu einer solidarischen Zukunftsfähigkeit beizutragen.</w:t>
            </w:r>
            <w:r>
              <w:rPr>
                <w:rStyle w:val="eop"/>
                <w:rFonts w:ascii="Calibri" w:hAnsi="Calibri" w:cs="Calibri"/>
                <w:sz w:val="22"/>
                <w:szCs w:val="22"/>
              </w:rPr>
              <w:t> </w:t>
            </w:r>
          </w:p>
          <w:p w14:paraId="126801D7" w14:textId="77777777" w:rsidR="00134E58" w:rsidRDefault="00134E58" w:rsidP="19DFBBAA"/>
          <w:p w14:paraId="18377401" w14:textId="77777777" w:rsidR="00134E58" w:rsidRDefault="00134E58" w:rsidP="00134E5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de-DE"/>
              </w:rPr>
              <w:t xml:space="preserve">Keynote 2: </w:t>
            </w:r>
            <w:r>
              <w:rPr>
                <w:rStyle w:val="normaltextrun"/>
                <w:rFonts w:ascii="Calibri" w:hAnsi="Calibri" w:cs="Calibri"/>
                <w:b/>
                <w:bCs/>
                <w:sz w:val="22"/>
                <w:szCs w:val="22"/>
                <w:lang w:val="de-DE"/>
              </w:rPr>
              <w:t xml:space="preserve">Micha Pallesche, </w:t>
            </w:r>
            <w:r>
              <w:rPr>
                <w:rStyle w:val="normaltextrun"/>
                <w:rFonts w:ascii="Calibri" w:hAnsi="Calibri" w:cs="Calibri"/>
                <w:b/>
                <w:bCs/>
                <w:i/>
                <w:iCs/>
                <w:sz w:val="22"/>
                <w:szCs w:val="22"/>
                <w:lang w:val="de-DE"/>
              </w:rPr>
              <w:t>Schule im Kontext von Digitalität und Nachhaltigkeit</w:t>
            </w:r>
            <w:r>
              <w:rPr>
                <w:rStyle w:val="eop"/>
                <w:rFonts w:ascii="Calibri" w:hAnsi="Calibri" w:cs="Calibri"/>
                <w:sz w:val="22"/>
                <w:szCs w:val="22"/>
              </w:rPr>
              <w:t> </w:t>
            </w:r>
          </w:p>
          <w:p w14:paraId="226A081B" w14:textId="77777777" w:rsidR="00134E58" w:rsidRDefault="00134E58" w:rsidP="00134E5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lang w:val="de-DE"/>
              </w:rPr>
              <w:t>Die Keynote beschäftigt sich mit der Frage, wie es Schulgemeinschaften gelingen kann, bestehende Rahmungen zu verändern, um Gegenwart und Zukunft im Anspruch von Zukunftsfähigkeit gemeinsam zu gestalten.</w:t>
            </w:r>
            <w:r>
              <w:rPr>
                <w:rStyle w:val="eop"/>
                <w:rFonts w:ascii="Calibri" w:hAnsi="Calibri" w:cs="Calibri"/>
                <w:sz w:val="22"/>
                <w:szCs w:val="22"/>
              </w:rPr>
              <w:t> </w:t>
            </w:r>
          </w:p>
          <w:p w14:paraId="0EEA36E9" w14:textId="77777777" w:rsidR="00134E58" w:rsidRDefault="00134E58" w:rsidP="19DFBBAA"/>
          <w:p w14:paraId="39395767" w14:textId="75A24C56" w:rsidR="00134E58" w:rsidRPr="00F83E02" w:rsidRDefault="00134E58" w:rsidP="19DFBBAA">
            <w:pPr>
              <w:rPr>
                <w:b/>
                <w:bCs/>
                <w:lang w:val="en-GB"/>
              </w:rPr>
            </w:pPr>
            <w:r w:rsidRPr="00F83E02">
              <w:rPr>
                <w:b/>
                <w:bCs/>
                <w:lang w:val="en-GB"/>
              </w:rPr>
              <w:t>Workshops:</w:t>
            </w:r>
          </w:p>
          <w:p w14:paraId="2C231CC9" w14:textId="551F454F" w:rsidR="00134E58" w:rsidRPr="00F83E02" w:rsidRDefault="00134E58" w:rsidP="00134E58">
            <w:pPr>
              <w:pStyle w:val="paragraph"/>
              <w:spacing w:before="0" w:beforeAutospacing="0" w:after="0" w:afterAutospacing="0"/>
              <w:jc w:val="both"/>
              <w:textAlignment w:val="baseline"/>
              <w:rPr>
                <w:rStyle w:val="normaltextrun"/>
                <w:sz w:val="22"/>
                <w:szCs w:val="22"/>
                <w:lang w:val="en-GB"/>
              </w:rPr>
            </w:pPr>
            <w:r w:rsidRPr="00134E58">
              <w:rPr>
                <w:rStyle w:val="normaltextrun"/>
                <w:rFonts w:ascii="Calibri" w:hAnsi="Calibri" w:cs="Calibri"/>
                <w:sz w:val="22"/>
                <w:szCs w:val="22"/>
                <w:lang w:val="en-US"/>
              </w:rPr>
              <w:t>Workshop 1 (hybrid): Micha Pallesche: Der rote Salon</w:t>
            </w:r>
            <w:r w:rsidRPr="00134E58">
              <w:rPr>
                <w:rStyle w:val="normaltextrun"/>
                <w:lang w:val="en-US"/>
              </w:rPr>
              <w:t> </w:t>
            </w:r>
          </w:p>
          <w:p w14:paraId="7E82906B" w14:textId="714FDD03" w:rsidR="00134E58" w:rsidRPr="00F83E02" w:rsidRDefault="00134E58" w:rsidP="00134E58">
            <w:pPr>
              <w:pStyle w:val="paragraph"/>
              <w:spacing w:before="0" w:beforeAutospacing="0" w:after="0" w:afterAutospacing="0"/>
              <w:jc w:val="both"/>
              <w:textAlignment w:val="baseline"/>
              <w:rPr>
                <w:rStyle w:val="normaltextrun"/>
                <w:sz w:val="22"/>
                <w:szCs w:val="22"/>
              </w:rPr>
            </w:pPr>
            <w:r w:rsidRPr="00F83E02">
              <w:rPr>
                <w:rStyle w:val="normaltextrun"/>
                <w:rFonts w:ascii="Calibri" w:hAnsi="Calibri" w:cs="Calibri"/>
                <w:sz w:val="22"/>
                <w:szCs w:val="22"/>
              </w:rPr>
              <w:t>Workshop 2 (in Präsenz): Melanie Laibl: Mut machen – zum Mitmachen! </w:t>
            </w:r>
            <w:r w:rsidRPr="00F83E02">
              <w:rPr>
                <w:rStyle w:val="normaltextrun"/>
              </w:rPr>
              <w:t> </w:t>
            </w:r>
          </w:p>
          <w:p w14:paraId="5109C266" w14:textId="77777777" w:rsidR="00134E58" w:rsidRDefault="00134E58" w:rsidP="00134E5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E73A7AF" w14:textId="77777777" w:rsidR="00134E58" w:rsidRPr="00134E58" w:rsidRDefault="00134E58" w:rsidP="00134E58">
            <w:pPr>
              <w:pStyle w:val="paragraph"/>
              <w:spacing w:before="0" w:beforeAutospacing="0" w:after="0" w:afterAutospacing="0"/>
              <w:jc w:val="both"/>
              <w:textAlignment w:val="baseline"/>
              <w:rPr>
                <w:rStyle w:val="normaltextrun"/>
                <w:lang w:val="en-US"/>
              </w:rPr>
            </w:pPr>
            <w:r>
              <w:rPr>
                <w:rStyle w:val="normaltextrun"/>
                <w:rFonts w:ascii="Calibri" w:hAnsi="Calibri" w:cs="Calibri"/>
                <w:sz w:val="22"/>
                <w:szCs w:val="22"/>
                <w:lang w:val="en-US"/>
              </w:rPr>
              <w:lastRenderedPageBreak/>
              <w:t xml:space="preserve">Workshop 3 (hybrid, in English): </w:t>
            </w:r>
            <w:r w:rsidRPr="00134E58">
              <w:rPr>
                <w:rStyle w:val="normaltextrun"/>
                <w:rFonts w:ascii="Calibri" w:hAnsi="Calibri" w:cs="Calibri"/>
                <w:sz w:val="22"/>
                <w:szCs w:val="22"/>
                <w:lang w:val="en-US"/>
              </w:rPr>
              <w:t>Emanuele Bardone &amp; Liisi Pajula:</w:t>
            </w:r>
            <w:r>
              <w:rPr>
                <w:rStyle w:val="normaltextrun"/>
                <w:rFonts w:ascii="Calibri" w:hAnsi="Calibri" w:cs="Calibri"/>
                <w:sz w:val="22"/>
                <w:szCs w:val="22"/>
                <w:lang w:val="en-US"/>
              </w:rPr>
              <w:t xml:space="preserve"> </w:t>
            </w:r>
            <w:r w:rsidRPr="00134E58">
              <w:rPr>
                <w:rStyle w:val="normaltextrun"/>
                <w:rFonts w:ascii="Calibri" w:hAnsi="Calibri" w:cs="Calibri"/>
                <w:sz w:val="22"/>
                <w:szCs w:val="22"/>
                <w:lang w:val="en-US"/>
              </w:rPr>
              <w:t>Telling the futures of education through Utopian/Dystopian short stories</w:t>
            </w:r>
          </w:p>
          <w:p w14:paraId="1647093D" w14:textId="77777777" w:rsidR="00134E58" w:rsidRPr="00134E58" w:rsidRDefault="00134E58" w:rsidP="19DFBBAA">
            <w:pPr>
              <w:rPr>
                <w:lang w:val="en-US"/>
              </w:rPr>
            </w:pPr>
          </w:p>
          <w:p w14:paraId="09455418" w14:textId="77777777" w:rsidR="00092078" w:rsidRPr="00134E58" w:rsidRDefault="00092078">
            <w:pPr>
              <w:rPr>
                <w:i/>
                <w:iCs/>
                <w:lang w:val="en-US"/>
              </w:rPr>
            </w:pPr>
          </w:p>
          <w:p w14:paraId="623C4B7A" w14:textId="77777777" w:rsidR="00092078" w:rsidRPr="00E31019" w:rsidRDefault="00092078">
            <w:pPr>
              <w:rPr>
                <w:b/>
                <w:bCs/>
              </w:rPr>
            </w:pPr>
            <w:r w:rsidRPr="00E31019">
              <w:rPr>
                <w:b/>
                <w:bCs/>
              </w:rPr>
              <w:t>Ziel:</w:t>
            </w:r>
          </w:p>
          <w:p w14:paraId="3A5935AA" w14:textId="261FFC58" w:rsidR="00092078" w:rsidRDefault="076A6287" w:rsidP="19DFBBAA">
            <w:pPr>
              <w:rPr>
                <w:i/>
                <w:iCs/>
              </w:rPr>
            </w:pPr>
            <w:r>
              <w:t xml:space="preserve">Vorstellung des Konzepts „Anthropozänkompetenz“ und von CNL; Erprobung in partizipativen Formaten; Vorstellung Projekt und Projektpartner*innen, Vorstellung und Workshops zu </w:t>
            </w:r>
            <w:r w:rsidRPr="19DFBBAA">
              <w:rPr>
                <w:i/>
                <w:iCs/>
              </w:rPr>
              <w:t>WP 1</w:t>
            </w:r>
            <w:r>
              <w:t xml:space="preserve"> und Teilergebnis </w:t>
            </w:r>
            <w:r w:rsidRPr="19DFBBAA">
              <w:rPr>
                <w:i/>
                <w:iCs/>
              </w:rPr>
              <w:t>WP 2 Plattform</w:t>
            </w:r>
            <w:r w:rsidR="00134E58">
              <w:rPr>
                <w:i/>
                <w:iCs/>
              </w:rPr>
              <w:t xml:space="preserve"> bzw. Lernszenarien</w:t>
            </w:r>
          </w:p>
          <w:p w14:paraId="40B5AC74" w14:textId="0B6C8936" w:rsidR="00092078" w:rsidRPr="00092078" w:rsidRDefault="00092078"/>
        </w:tc>
        <w:tc>
          <w:tcPr>
            <w:tcW w:w="1629" w:type="dxa"/>
            <w:shd w:val="clear" w:color="auto" w:fill="FFF2CC" w:themeFill="accent4" w:themeFillTint="33"/>
          </w:tcPr>
          <w:p w14:paraId="0717E935" w14:textId="77777777" w:rsidR="009127D9" w:rsidRDefault="002C234E">
            <w:r>
              <w:lastRenderedPageBreak/>
              <w:t>Deutschland</w:t>
            </w:r>
          </w:p>
          <w:p w14:paraId="14A5AACC" w14:textId="26323B0F" w:rsidR="00033179" w:rsidRDefault="00033179">
            <w:r>
              <w:t>LMU</w:t>
            </w:r>
          </w:p>
        </w:tc>
        <w:tc>
          <w:tcPr>
            <w:tcW w:w="1546" w:type="dxa"/>
            <w:shd w:val="clear" w:color="auto" w:fill="FFF2CC" w:themeFill="accent4" w:themeFillTint="33"/>
          </w:tcPr>
          <w:p w14:paraId="3296009E" w14:textId="00976EF6" w:rsidR="009127D9" w:rsidRDefault="005F7048">
            <w:r>
              <w:t>Hybrid</w:t>
            </w:r>
            <w:r w:rsidR="002C234E">
              <w:t xml:space="preserve"> – </w:t>
            </w:r>
            <w:r w:rsidR="002C234E" w:rsidRPr="00261D4F">
              <w:rPr>
                <w:b/>
                <w:bCs/>
              </w:rPr>
              <w:t>Green Event</w:t>
            </w:r>
            <w:r w:rsidR="00B331C6" w:rsidRPr="00261D4F">
              <w:rPr>
                <w:b/>
                <w:bCs/>
              </w:rPr>
              <w:t>*</w:t>
            </w:r>
          </w:p>
        </w:tc>
        <w:tc>
          <w:tcPr>
            <w:tcW w:w="1275" w:type="dxa"/>
            <w:shd w:val="clear" w:color="auto" w:fill="FFF2CC" w:themeFill="accent4" w:themeFillTint="33"/>
          </w:tcPr>
          <w:p w14:paraId="3FA28331" w14:textId="003C5733" w:rsidR="009127D9" w:rsidRDefault="002C234E">
            <w:r>
              <w:t>80</w:t>
            </w:r>
          </w:p>
        </w:tc>
        <w:tc>
          <w:tcPr>
            <w:tcW w:w="1290" w:type="dxa"/>
            <w:shd w:val="clear" w:color="auto" w:fill="FFF2CC" w:themeFill="accent4" w:themeFillTint="33"/>
          </w:tcPr>
          <w:p w14:paraId="588FC7D0" w14:textId="77777777" w:rsidR="009127D9" w:rsidRDefault="009127D9"/>
        </w:tc>
        <w:tc>
          <w:tcPr>
            <w:tcW w:w="1310" w:type="dxa"/>
            <w:shd w:val="clear" w:color="auto" w:fill="FFF2CC" w:themeFill="accent4" w:themeFillTint="33"/>
          </w:tcPr>
          <w:p w14:paraId="1EF16EAD" w14:textId="59D7C552" w:rsidR="009127D9" w:rsidRDefault="002C234E">
            <w:r>
              <w:t>50</w:t>
            </w:r>
          </w:p>
        </w:tc>
        <w:tc>
          <w:tcPr>
            <w:tcW w:w="2351" w:type="dxa"/>
            <w:shd w:val="clear" w:color="auto" w:fill="FFF2CC" w:themeFill="accent4" w:themeFillTint="33"/>
          </w:tcPr>
          <w:p w14:paraId="0FDF1A8C" w14:textId="0646381B" w:rsidR="009127D9" w:rsidRDefault="00134E58">
            <w:r>
              <w:t>19</w:t>
            </w:r>
            <w:r w:rsidR="00514A5A">
              <w:t>.10.2023</w:t>
            </w:r>
          </w:p>
          <w:p w14:paraId="30738A70" w14:textId="6D44959A" w:rsidR="009127D9" w:rsidRDefault="009127D9" w:rsidP="69FEA18A"/>
          <w:p w14:paraId="2F2F9CD8" w14:textId="392E4BFB" w:rsidR="009127D9" w:rsidRDefault="009127D9" w:rsidP="47DDB005">
            <w:pPr>
              <w:spacing w:line="259" w:lineRule="auto"/>
            </w:pPr>
          </w:p>
        </w:tc>
      </w:tr>
      <w:tr w:rsidR="00BB3A5A" w14:paraId="7E984606" w14:textId="77777777" w:rsidTr="24817149">
        <w:tc>
          <w:tcPr>
            <w:tcW w:w="738" w:type="dxa"/>
            <w:shd w:val="clear" w:color="auto" w:fill="DEEAF6" w:themeFill="accent5" w:themeFillTint="33"/>
          </w:tcPr>
          <w:p w14:paraId="6CBC5EF3" w14:textId="61942E5B" w:rsidR="00770360" w:rsidRDefault="005F25DE">
            <w:r>
              <w:lastRenderedPageBreak/>
              <w:t>TNP 4</w:t>
            </w:r>
          </w:p>
        </w:tc>
        <w:tc>
          <w:tcPr>
            <w:tcW w:w="4740" w:type="dxa"/>
            <w:shd w:val="clear" w:color="auto" w:fill="DEEAF6" w:themeFill="accent5" w:themeFillTint="33"/>
          </w:tcPr>
          <w:p w14:paraId="71F96869" w14:textId="392F9ABD" w:rsidR="00D445C6" w:rsidRDefault="32A27989">
            <w:r w:rsidRPr="58059EBE">
              <w:rPr>
                <w:i/>
                <w:iCs/>
              </w:rPr>
              <w:t>Next Practice Beispiele</w:t>
            </w:r>
            <w:r w:rsidR="00F83E02">
              <w:rPr>
                <w:i/>
                <w:iCs/>
              </w:rPr>
              <w:t xml:space="preserve"> und Plattform</w:t>
            </w:r>
            <w:r w:rsidRPr="58059EBE">
              <w:rPr>
                <w:i/>
                <w:iCs/>
              </w:rPr>
              <w:t xml:space="preserve">, </w:t>
            </w:r>
            <w:r w:rsidR="7E59330B" w:rsidRPr="58059EBE">
              <w:rPr>
                <w:i/>
                <w:iCs/>
              </w:rPr>
              <w:t xml:space="preserve">MOOC, </w:t>
            </w:r>
            <w:r w:rsidR="56311B61" w:rsidRPr="58059EBE">
              <w:rPr>
                <w:i/>
                <w:iCs/>
              </w:rPr>
              <w:t>Te</w:t>
            </w:r>
            <w:r w:rsidR="21D5521C" w:rsidRPr="58059EBE">
              <w:rPr>
                <w:i/>
                <w:iCs/>
              </w:rPr>
              <w:t>x</w:t>
            </w:r>
            <w:r w:rsidR="56311B61" w:rsidRPr="58059EBE">
              <w:rPr>
                <w:i/>
                <w:iCs/>
              </w:rPr>
              <w:t>t-Bild-Narration</w:t>
            </w:r>
            <w:r w:rsidR="56311B61">
              <w:t xml:space="preserve">, Vorstellung Zwischenergebnisse, Nachbesprechung M </w:t>
            </w:r>
            <w:r w:rsidR="00F83E02">
              <w:t>1</w:t>
            </w:r>
            <w:r w:rsidR="56311B61">
              <w:t xml:space="preserve">, Reaktionen und Rückmeldungen, </w:t>
            </w:r>
          </w:p>
          <w:p w14:paraId="5D0437E7" w14:textId="58240101" w:rsidR="7661C16B" w:rsidRDefault="7661C16B" w:rsidP="58059EBE">
            <w:r>
              <w:t>Arbeitsgruppen für die WPs lt. Projektplan</w:t>
            </w:r>
          </w:p>
          <w:p w14:paraId="2DAA2946" w14:textId="77777777" w:rsidR="00770360" w:rsidRDefault="00BA6244">
            <w:r>
              <w:t>Planung M 2</w:t>
            </w:r>
          </w:p>
          <w:p w14:paraId="11937AD4" w14:textId="7A9FB3C4" w:rsidR="00E31019" w:rsidRDefault="00E31019">
            <w:r>
              <w:t>Quality Board – Abnahme WP2</w:t>
            </w:r>
          </w:p>
        </w:tc>
        <w:tc>
          <w:tcPr>
            <w:tcW w:w="1629" w:type="dxa"/>
            <w:shd w:val="clear" w:color="auto" w:fill="DEEAF6" w:themeFill="accent5" w:themeFillTint="33"/>
          </w:tcPr>
          <w:p w14:paraId="61DBD5E1" w14:textId="7BA1B50A" w:rsidR="00BA6244" w:rsidRDefault="05351D38" w:rsidP="03062622">
            <w:pPr>
              <w:spacing w:line="259" w:lineRule="auto"/>
            </w:pPr>
            <w:r>
              <w:t>Tartu</w:t>
            </w:r>
          </w:p>
        </w:tc>
        <w:tc>
          <w:tcPr>
            <w:tcW w:w="1546" w:type="dxa"/>
            <w:shd w:val="clear" w:color="auto" w:fill="DEEAF6" w:themeFill="accent5" w:themeFillTint="33"/>
          </w:tcPr>
          <w:p w14:paraId="49A901CA" w14:textId="1300E1BA" w:rsidR="00770360" w:rsidRDefault="00B91014">
            <w:r>
              <w:t>Virtuell</w:t>
            </w:r>
          </w:p>
        </w:tc>
        <w:tc>
          <w:tcPr>
            <w:tcW w:w="1275" w:type="dxa"/>
            <w:shd w:val="clear" w:color="auto" w:fill="DEEAF6" w:themeFill="accent5" w:themeFillTint="33"/>
          </w:tcPr>
          <w:p w14:paraId="73B66F2E" w14:textId="77777777" w:rsidR="00770360" w:rsidRDefault="00770360"/>
        </w:tc>
        <w:tc>
          <w:tcPr>
            <w:tcW w:w="1290" w:type="dxa"/>
            <w:shd w:val="clear" w:color="auto" w:fill="DEEAF6" w:themeFill="accent5" w:themeFillTint="33"/>
          </w:tcPr>
          <w:p w14:paraId="38D43EE2" w14:textId="77777777" w:rsidR="00770360" w:rsidRDefault="00770360"/>
        </w:tc>
        <w:tc>
          <w:tcPr>
            <w:tcW w:w="1310" w:type="dxa"/>
            <w:shd w:val="clear" w:color="auto" w:fill="DEEAF6" w:themeFill="accent5" w:themeFillTint="33"/>
          </w:tcPr>
          <w:p w14:paraId="417D31A7" w14:textId="77777777" w:rsidR="00770360" w:rsidRDefault="00770360"/>
        </w:tc>
        <w:tc>
          <w:tcPr>
            <w:tcW w:w="2351" w:type="dxa"/>
            <w:shd w:val="clear" w:color="auto" w:fill="DEEAF6" w:themeFill="accent5" w:themeFillTint="33"/>
          </w:tcPr>
          <w:p w14:paraId="7AE6AD6E" w14:textId="49F7B7A9" w:rsidR="00770360" w:rsidRDefault="0010509F">
            <w:r>
              <w:t>10.-12.4.</w:t>
            </w:r>
            <w:r w:rsidR="00BA6244">
              <w:t>2024</w:t>
            </w:r>
          </w:p>
        </w:tc>
      </w:tr>
      <w:tr w:rsidR="00BB3A5A" w14:paraId="7E63143D" w14:textId="77777777" w:rsidTr="24817149">
        <w:tc>
          <w:tcPr>
            <w:tcW w:w="738" w:type="dxa"/>
            <w:shd w:val="clear" w:color="auto" w:fill="DEEAF6" w:themeFill="accent5" w:themeFillTint="33"/>
          </w:tcPr>
          <w:p w14:paraId="399308D6" w14:textId="7AACE3AC" w:rsidR="00BA6244" w:rsidRDefault="00BA6244">
            <w:r>
              <w:t>TNP 5</w:t>
            </w:r>
          </w:p>
        </w:tc>
        <w:tc>
          <w:tcPr>
            <w:tcW w:w="4740" w:type="dxa"/>
            <w:shd w:val="clear" w:color="auto" w:fill="DEEAF6" w:themeFill="accent5" w:themeFillTint="33"/>
          </w:tcPr>
          <w:p w14:paraId="58C6CA37" w14:textId="71239D2E" w:rsidR="00BA6244" w:rsidRDefault="74555140" w:rsidP="58059EBE">
            <w:r w:rsidRPr="58059EBE">
              <w:rPr>
                <w:i/>
                <w:iCs/>
              </w:rPr>
              <w:t>Text-Bild-Narration</w:t>
            </w:r>
            <w:r w:rsidR="268B09CF" w:rsidRPr="58059EBE">
              <w:rPr>
                <w:i/>
                <w:iCs/>
              </w:rPr>
              <w:t xml:space="preserve"> WP 4</w:t>
            </w:r>
            <w:r w:rsidR="56311B61">
              <w:t>, Vorstellung Zwischenergebnisse</w:t>
            </w:r>
            <w:r w:rsidR="00E31019">
              <w:t xml:space="preserve"> WP3 und WP4</w:t>
            </w:r>
            <w:r w:rsidR="56311B61">
              <w:t xml:space="preserve">, </w:t>
            </w:r>
            <w:r w:rsidR="20213777">
              <w:t xml:space="preserve">Vor- und Nachbesprechung </w:t>
            </w:r>
            <w:r w:rsidR="56311B61">
              <w:t>M 2</w:t>
            </w:r>
          </w:p>
        </w:tc>
        <w:tc>
          <w:tcPr>
            <w:tcW w:w="1629" w:type="dxa"/>
            <w:shd w:val="clear" w:color="auto" w:fill="DEEAF6" w:themeFill="accent5" w:themeFillTint="33"/>
          </w:tcPr>
          <w:p w14:paraId="0983403A" w14:textId="77777777" w:rsidR="00D66DE1" w:rsidRDefault="001030CA">
            <w:r>
              <w:t>Slowenien</w:t>
            </w:r>
          </w:p>
          <w:p w14:paraId="5D487CF7" w14:textId="038AD009" w:rsidR="001030CA" w:rsidRDefault="001030CA">
            <w:r>
              <w:t>Maribor</w:t>
            </w:r>
          </w:p>
        </w:tc>
        <w:tc>
          <w:tcPr>
            <w:tcW w:w="1546" w:type="dxa"/>
            <w:shd w:val="clear" w:color="auto" w:fill="DEEAF6" w:themeFill="accent5" w:themeFillTint="33"/>
          </w:tcPr>
          <w:p w14:paraId="40EEF988" w14:textId="321185F6" w:rsidR="00BA6244" w:rsidRDefault="002023B4">
            <w:r>
              <w:t>Präsenz</w:t>
            </w:r>
          </w:p>
        </w:tc>
        <w:tc>
          <w:tcPr>
            <w:tcW w:w="1275" w:type="dxa"/>
            <w:shd w:val="clear" w:color="auto" w:fill="DEEAF6" w:themeFill="accent5" w:themeFillTint="33"/>
          </w:tcPr>
          <w:p w14:paraId="2AE79C2B" w14:textId="77777777" w:rsidR="00BA6244" w:rsidRDefault="00BA6244"/>
        </w:tc>
        <w:tc>
          <w:tcPr>
            <w:tcW w:w="1290" w:type="dxa"/>
            <w:shd w:val="clear" w:color="auto" w:fill="DEEAF6" w:themeFill="accent5" w:themeFillTint="33"/>
          </w:tcPr>
          <w:p w14:paraId="125ED539" w14:textId="77777777" w:rsidR="00BA6244" w:rsidRDefault="00BA6244"/>
        </w:tc>
        <w:tc>
          <w:tcPr>
            <w:tcW w:w="1310" w:type="dxa"/>
            <w:shd w:val="clear" w:color="auto" w:fill="DEEAF6" w:themeFill="accent5" w:themeFillTint="33"/>
          </w:tcPr>
          <w:p w14:paraId="5B2696A4" w14:textId="77777777" w:rsidR="00BA6244" w:rsidRDefault="00BA6244"/>
        </w:tc>
        <w:tc>
          <w:tcPr>
            <w:tcW w:w="2351" w:type="dxa"/>
            <w:shd w:val="clear" w:color="auto" w:fill="DEEAF6" w:themeFill="accent5" w:themeFillTint="33"/>
          </w:tcPr>
          <w:p w14:paraId="726DEE7D" w14:textId="72710CB0" w:rsidR="00BA6244" w:rsidRDefault="00F951F6">
            <w:r>
              <w:t>16.-18.10.2024</w:t>
            </w:r>
          </w:p>
        </w:tc>
      </w:tr>
      <w:tr w:rsidR="00092078" w14:paraId="6031172B" w14:textId="77777777" w:rsidTr="24817149">
        <w:tc>
          <w:tcPr>
            <w:tcW w:w="738" w:type="dxa"/>
            <w:shd w:val="clear" w:color="auto" w:fill="FFF2CC" w:themeFill="accent4" w:themeFillTint="33"/>
          </w:tcPr>
          <w:p w14:paraId="3C99364E" w14:textId="116D55BD" w:rsidR="002C234E" w:rsidRDefault="00BE4CAF">
            <w:r>
              <w:t xml:space="preserve">M </w:t>
            </w:r>
            <w:r w:rsidR="002C234E">
              <w:t>2</w:t>
            </w:r>
          </w:p>
        </w:tc>
        <w:tc>
          <w:tcPr>
            <w:tcW w:w="4740" w:type="dxa"/>
            <w:shd w:val="clear" w:color="auto" w:fill="FFF2CC" w:themeFill="accent4" w:themeFillTint="33"/>
          </w:tcPr>
          <w:p w14:paraId="5464307A" w14:textId="092F100F" w:rsidR="002C234E" w:rsidRPr="00767901" w:rsidRDefault="002C234E">
            <w:pPr>
              <w:rPr>
                <w:lang w:val="en-GB"/>
              </w:rPr>
            </w:pPr>
            <w:r w:rsidRPr="00767901">
              <w:rPr>
                <w:lang w:val="en-GB"/>
              </w:rPr>
              <w:t xml:space="preserve">CultureNature Literacy (CNL): </w:t>
            </w:r>
            <w:r w:rsidR="00767901" w:rsidRPr="00767901">
              <w:rPr>
                <w:lang w:val="en-GB"/>
              </w:rPr>
              <w:t>Shaping the Future in the Anthropo</w:t>
            </w:r>
            <w:r w:rsidR="00767901">
              <w:rPr>
                <w:lang w:val="en-GB"/>
              </w:rPr>
              <w:t>cene</w:t>
            </w:r>
            <w:r w:rsidR="00FC7A97" w:rsidRPr="00767901">
              <w:rPr>
                <w:lang w:val="en-GB"/>
              </w:rPr>
              <w:t>,</w:t>
            </w:r>
          </w:p>
          <w:p w14:paraId="07F1CF2C" w14:textId="77777777" w:rsidR="002C234E" w:rsidRDefault="002C234E">
            <w:r>
              <w:t>Vorstellung Projekt und Projektpartner*innen</w:t>
            </w:r>
          </w:p>
          <w:p w14:paraId="5F59BC37" w14:textId="3EE6CEC2" w:rsidR="002C234E" w:rsidRDefault="1F344816" w:rsidP="58059EBE">
            <w:pPr>
              <w:rPr>
                <w:i/>
                <w:iCs/>
              </w:rPr>
            </w:pPr>
            <w:r>
              <w:t xml:space="preserve">Vorstellung und Workshop zu WP </w:t>
            </w:r>
            <w:r w:rsidR="42684FAC">
              <w:t xml:space="preserve">1 </w:t>
            </w:r>
            <w:r w:rsidR="00584402">
              <w:t>CNL Handbuch</w:t>
            </w:r>
            <w:r w:rsidR="42684FAC">
              <w:t xml:space="preserve">, </w:t>
            </w:r>
            <w:r w:rsidR="00767901">
              <w:t xml:space="preserve">WP 2 Lernszenarien und CNL Plattform, </w:t>
            </w:r>
            <w:r w:rsidR="42684FAC">
              <w:t>WP 3</w:t>
            </w:r>
            <w:r w:rsidR="5F4D8ABE">
              <w:t xml:space="preserve"> CNL </w:t>
            </w:r>
            <w:r w:rsidR="00767901">
              <w:t>Mooc</w:t>
            </w:r>
            <w:r w:rsidR="5F4D8ABE">
              <w:t xml:space="preserve"> und Next-Practice-Beispiele</w:t>
            </w:r>
            <w:r w:rsidRPr="58059EBE">
              <w:rPr>
                <w:i/>
                <w:iCs/>
              </w:rPr>
              <w:t>, Teilergebnis WP 4</w:t>
            </w:r>
            <w:r w:rsidR="63D44C7B" w:rsidRPr="58059EBE">
              <w:rPr>
                <w:i/>
                <w:iCs/>
              </w:rPr>
              <w:t xml:space="preserve"> Narrationen</w:t>
            </w:r>
          </w:p>
          <w:p w14:paraId="5F17BD69" w14:textId="77777777" w:rsidR="005F7048" w:rsidRPr="00092078" w:rsidRDefault="005F7048">
            <w:pPr>
              <w:rPr>
                <w:b/>
                <w:bCs/>
              </w:rPr>
            </w:pPr>
            <w:r w:rsidRPr="00092078">
              <w:rPr>
                <w:b/>
                <w:bCs/>
              </w:rPr>
              <w:lastRenderedPageBreak/>
              <w:t xml:space="preserve">Zielgruppen: </w:t>
            </w:r>
          </w:p>
          <w:p w14:paraId="2CCA534A" w14:textId="01D69000" w:rsidR="00092078" w:rsidRDefault="00092078" w:rsidP="00092078">
            <w:r>
              <w:t xml:space="preserve">Lehrende in der universitären und hochschulischen Lehrerbildung, Lehrkräfte aller Schulformen, die sich im Rahmen ihres fachlichen Unterrichts mit Themenfeldern kultureller Nachhaltigkeit auseinandersetzen. Gesamteuropäisch. Alle Partnerorganisationen laden über ihre Netzwerke zur Teilnahme ein. </w:t>
            </w:r>
          </w:p>
          <w:p w14:paraId="1F5F03C7" w14:textId="1B20B07B" w:rsidR="00092078" w:rsidRDefault="00092078" w:rsidP="00092078"/>
          <w:p w14:paraId="501F183A" w14:textId="587A267B" w:rsidR="00092078" w:rsidRPr="0072531B" w:rsidRDefault="00092078" w:rsidP="00092078">
            <w:pPr>
              <w:rPr>
                <w:b/>
                <w:bCs/>
                <w:lang w:val="en-US"/>
              </w:rPr>
            </w:pPr>
            <w:r w:rsidRPr="0072531B">
              <w:rPr>
                <w:b/>
                <w:bCs/>
                <w:lang w:val="en-US"/>
              </w:rPr>
              <w:t>Keynotes</w:t>
            </w:r>
            <w:r w:rsidR="00767901">
              <w:rPr>
                <w:b/>
                <w:bCs/>
                <w:lang w:val="en-US"/>
              </w:rPr>
              <w:t xml:space="preserve"> und Vorträge</w:t>
            </w:r>
            <w:r w:rsidRPr="0072531B">
              <w:rPr>
                <w:b/>
                <w:bCs/>
                <w:lang w:val="en-US"/>
              </w:rPr>
              <w:t>:</w:t>
            </w:r>
          </w:p>
          <w:p w14:paraId="49556ACB" w14:textId="113E9641" w:rsidR="004020B2" w:rsidRDefault="00767901" w:rsidP="004020B2">
            <w:pPr>
              <w:rPr>
                <w:lang w:val="en-US"/>
              </w:rPr>
            </w:pPr>
            <w:r>
              <w:rPr>
                <w:lang w:val="en-US"/>
              </w:rPr>
              <w:t>Carmen Sippl: CultureNature Literacy</w:t>
            </w:r>
          </w:p>
          <w:p w14:paraId="6CEEC629" w14:textId="3141A736" w:rsidR="004020B2" w:rsidRDefault="00767901" w:rsidP="004020B2">
            <w:pPr>
              <w:rPr>
                <w:lang w:val="en-US"/>
              </w:rPr>
            </w:pPr>
            <w:r>
              <w:rPr>
                <w:lang w:val="en-US"/>
              </w:rPr>
              <w:t xml:space="preserve">Michael Adler: Climate protection is human protection – Why the Climate Crisis Requires a Different Discourse </w:t>
            </w:r>
          </w:p>
          <w:p w14:paraId="2D62EAE5" w14:textId="09CD339F" w:rsidR="00092078" w:rsidRDefault="00092078" w:rsidP="00092078">
            <w:r>
              <w:t>Mehrsprachi</w:t>
            </w:r>
            <w:r w:rsidR="54D0A2E1">
              <w:t>g</w:t>
            </w:r>
            <w:r>
              <w:t>es Ang</w:t>
            </w:r>
            <w:r w:rsidR="3EE18496">
              <w:t>e</w:t>
            </w:r>
            <w:r>
              <w:t>bot</w:t>
            </w:r>
          </w:p>
          <w:p w14:paraId="48B9444F" w14:textId="3BDCA24E" w:rsidR="00767901" w:rsidRDefault="00767901" w:rsidP="00092078">
            <w:pPr>
              <w:rPr>
                <w:lang w:val="en-GB"/>
              </w:rPr>
            </w:pPr>
            <w:r w:rsidRPr="00767901">
              <w:rPr>
                <w:lang w:val="en-GB"/>
              </w:rPr>
              <w:t>Davorin Tome: Are We A</w:t>
            </w:r>
            <w:r>
              <w:rPr>
                <w:lang w:val="en-GB"/>
              </w:rPr>
              <w:t>lone in Universe?</w:t>
            </w:r>
          </w:p>
          <w:p w14:paraId="55FEF7CE" w14:textId="39A72B18" w:rsidR="00767901" w:rsidRPr="00767901" w:rsidRDefault="00767901" w:rsidP="00092078">
            <w:pPr>
              <w:rPr>
                <w:lang w:val="en-GB"/>
              </w:rPr>
            </w:pPr>
            <w:r>
              <w:rPr>
                <w:lang w:val="en-GB"/>
              </w:rPr>
              <w:t>Ales Maver: How Unique is the Anthropocene?</w:t>
            </w:r>
          </w:p>
          <w:p w14:paraId="2094409A" w14:textId="5C45910B" w:rsidR="00092078" w:rsidRDefault="00767901" w:rsidP="00092078">
            <w:pPr>
              <w:rPr>
                <w:lang w:val="en-GB"/>
              </w:rPr>
            </w:pPr>
            <w:r>
              <w:rPr>
                <w:lang w:val="en-GB"/>
              </w:rPr>
              <w:t>Peter Kozmus: Why and How to Adapt Barkeeping Practices to Climate Change?</w:t>
            </w:r>
          </w:p>
          <w:p w14:paraId="1FA24AB5" w14:textId="061A3313" w:rsidR="00767901" w:rsidRDefault="00767901" w:rsidP="00092078">
            <w:pPr>
              <w:rPr>
                <w:lang w:val="en-GB"/>
              </w:rPr>
            </w:pPr>
            <w:r>
              <w:rPr>
                <w:lang w:val="en-GB"/>
              </w:rPr>
              <w:t>Berbeli Wanning: Environmental Empathy – How CNL Empowers Emotional Energy</w:t>
            </w:r>
          </w:p>
          <w:p w14:paraId="6D2708E4" w14:textId="2CA8A74E" w:rsidR="00767901" w:rsidRDefault="00767901" w:rsidP="00092078">
            <w:pPr>
              <w:rPr>
                <w:lang w:val="en-GB"/>
              </w:rPr>
            </w:pPr>
            <w:r>
              <w:rPr>
                <w:lang w:val="en-GB"/>
              </w:rPr>
              <w:t>Linguists from the ZELEN.KOM: Telling the Climate Crisis Through Stories</w:t>
            </w:r>
          </w:p>
          <w:p w14:paraId="164FA463" w14:textId="77777777" w:rsidR="00767901" w:rsidRDefault="00767901" w:rsidP="00092078">
            <w:pPr>
              <w:rPr>
                <w:lang w:val="en-GB"/>
              </w:rPr>
            </w:pPr>
          </w:p>
          <w:p w14:paraId="12DCA235" w14:textId="77777777" w:rsidR="00767901" w:rsidRPr="00767901" w:rsidRDefault="00767901" w:rsidP="00092078">
            <w:pPr>
              <w:rPr>
                <w:b/>
                <w:bCs/>
                <w:lang w:val="en-GB"/>
              </w:rPr>
            </w:pPr>
            <w:r w:rsidRPr="00767901">
              <w:rPr>
                <w:b/>
                <w:bCs/>
                <w:lang w:val="en-GB"/>
              </w:rPr>
              <w:t xml:space="preserve">Workshops: </w:t>
            </w:r>
          </w:p>
          <w:p w14:paraId="3A29A608" w14:textId="44F55577" w:rsidR="00767901" w:rsidRDefault="00767901" w:rsidP="00092078">
            <w:pPr>
              <w:rPr>
                <w:lang w:val="en-GB"/>
              </w:rPr>
            </w:pPr>
            <w:r>
              <w:rPr>
                <w:lang w:val="en-GB"/>
              </w:rPr>
              <w:t>Plant Journeys and Impacts on Culture</w:t>
            </w:r>
          </w:p>
          <w:p w14:paraId="115D0E8D" w14:textId="103E6ADD" w:rsidR="00767901" w:rsidRDefault="00767901" w:rsidP="00092078">
            <w:pPr>
              <w:rPr>
                <w:lang w:val="en-GB"/>
              </w:rPr>
            </w:pPr>
            <w:r>
              <w:rPr>
                <w:lang w:val="en-GB"/>
              </w:rPr>
              <w:t>Simple Behavioural Experiments Can Contribute to a Positive Attitude Towards Living Beings and Nature</w:t>
            </w:r>
          </w:p>
          <w:p w14:paraId="351ABA5D" w14:textId="77777777" w:rsidR="00767901" w:rsidRDefault="00767901" w:rsidP="00092078">
            <w:pPr>
              <w:rPr>
                <w:lang w:val="en-GB"/>
              </w:rPr>
            </w:pPr>
          </w:p>
          <w:p w14:paraId="100CF7BC" w14:textId="77777777" w:rsidR="00092078" w:rsidRPr="00092078" w:rsidRDefault="00092078" w:rsidP="00092078">
            <w:pPr>
              <w:rPr>
                <w:b/>
                <w:bCs/>
              </w:rPr>
            </w:pPr>
            <w:r w:rsidRPr="00092078">
              <w:rPr>
                <w:b/>
                <w:bCs/>
              </w:rPr>
              <w:lastRenderedPageBreak/>
              <w:t>Ziel:</w:t>
            </w:r>
          </w:p>
          <w:p w14:paraId="5D10C4E5" w14:textId="616B2F76" w:rsidR="00092078" w:rsidRDefault="00092078" w:rsidP="00092078">
            <w:r>
              <w:t xml:space="preserve">„Anthropozänkompetenz“ als Element von Führungskultur in gesellschaftlicher Verantwortung; professionsorientiertere Erfahrungsaustausch; </w:t>
            </w:r>
            <w:r w:rsidRPr="00092078">
              <w:rPr>
                <w:i/>
                <w:iCs/>
              </w:rPr>
              <w:t>Präsentation</w:t>
            </w:r>
            <w:r w:rsidR="00E31019">
              <w:rPr>
                <w:i/>
                <w:iCs/>
              </w:rPr>
              <w:t xml:space="preserve"> des Projektes und der bisherigen Ergebnisse</w:t>
            </w:r>
            <w:r>
              <w:t>;</w:t>
            </w:r>
          </w:p>
          <w:p w14:paraId="5CC51D62" w14:textId="10747777" w:rsidR="00092078" w:rsidRPr="005F7048" w:rsidRDefault="00092078"/>
        </w:tc>
        <w:tc>
          <w:tcPr>
            <w:tcW w:w="1629" w:type="dxa"/>
            <w:shd w:val="clear" w:color="auto" w:fill="FFF2CC" w:themeFill="accent4" w:themeFillTint="33"/>
          </w:tcPr>
          <w:p w14:paraId="288D74EB" w14:textId="77777777" w:rsidR="00D66DE1" w:rsidRDefault="001030CA">
            <w:r>
              <w:lastRenderedPageBreak/>
              <w:t>Slowenien</w:t>
            </w:r>
          </w:p>
          <w:p w14:paraId="11052AA5" w14:textId="54EA3AD3" w:rsidR="001030CA" w:rsidRDefault="001030CA">
            <w:r>
              <w:t>Maribor</w:t>
            </w:r>
          </w:p>
        </w:tc>
        <w:tc>
          <w:tcPr>
            <w:tcW w:w="1546" w:type="dxa"/>
            <w:shd w:val="clear" w:color="auto" w:fill="FFF2CC" w:themeFill="accent4" w:themeFillTint="33"/>
          </w:tcPr>
          <w:p w14:paraId="0E41C0F4" w14:textId="194167E0" w:rsidR="002C234E" w:rsidRDefault="001030CA">
            <w:r>
              <w:t>Hybrid</w:t>
            </w:r>
            <w:r w:rsidR="00CC1A0A">
              <w:t xml:space="preserve"> - </w:t>
            </w:r>
            <w:r w:rsidR="00CC1A0A" w:rsidRPr="001F667C">
              <w:rPr>
                <w:b/>
                <w:bCs/>
              </w:rPr>
              <w:t>Green Event</w:t>
            </w:r>
            <w:r w:rsidR="002C578F" w:rsidRPr="001F667C">
              <w:rPr>
                <w:b/>
                <w:bCs/>
              </w:rPr>
              <w:t>*</w:t>
            </w:r>
          </w:p>
        </w:tc>
        <w:tc>
          <w:tcPr>
            <w:tcW w:w="1275" w:type="dxa"/>
            <w:shd w:val="clear" w:color="auto" w:fill="FFF2CC" w:themeFill="accent4" w:themeFillTint="33"/>
          </w:tcPr>
          <w:p w14:paraId="0B940F49" w14:textId="68175BB9" w:rsidR="002C234E" w:rsidRDefault="00407398">
            <w:r>
              <w:t>80</w:t>
            </w:r>
          </w:p>
        </w:tc>
        <w:tc>
          <w:tcPr>
            <w:tcW w:w="1290" w:type="dxa"/>
            <w:shd w:val="clear" w:color="auto" w:fill="FFF2CC" w:themeFill="accent4" w:themeFillTint="33"/>
          </w:tcPr>
          <w:p w14:paraId="4A1B114D" w14:textId="77777777" w:rsidR="002C234E" w:rsidRDefault="002C234E"/>
        </w:tc>
        <w:tc>
          <w:tcPr>
            <w:tcW w:w="1310" w:type="dxa"/>
            <w:shd w:val="clear" w:color="auto" w:fill="FFF2CC" w:themeFill="accent4" w:themeFillTint="33"/>
          </w:tcPr>
          <w:p w14:paraId="0B739024" w14:textId="65E93F0F" w:rsidR="002C234E" w:rsidRDefault="00407398">
            <w:r>
              <w:t>50</w:t>
            </w:r>
          </w:p>
        </w:tc>
        <w:tc>
          <w:tcPr>
            <w:tcW w:w="2351" w:type="dxa"/>
            <w:shd w:val="clear" w:color="auto" w:fill="FFF2CC" w:themeFill="accent4" w:themeFillTint="33"/>
          </w:tcPr>
          <w:p w14:paraId="6B6D6E65" w14:textId="213E6ACA" w:rsidR="002C234E" w:rsidRDefault="00F951F6">
            <w:r>
              <w:t>17</w:t>
            </w:r>
            <w:r w:rsidR="00616B14">
              <w:t>.10.2024</w:t>
            </w:r>
          </w:p>
        </w:tc>
      </w:tr>
      <w:tr w:rsidR="00092078" w14:paraId="73F0EB52" w14:textId="77777777" w:rsidTr="24817149">
        <w:tc>
          <w:tcPr>
            <w:tcW w:w="738" w:type="dxa"/>
            <w:shd w:val="clear" w:color="auto" w:fill="DEEAF6" w:themeFill="accent5" w:themeFillTint="33"/>
          </w:tcPr>
          <w:p w14:paraId="45CB1C4E" w14:textId="411D4192" w:rsidR="00012B14" w:rsidRDefault="00C534D7">
            <w:r>
              <w:lastRenderedPageBreak/>
              <w:t>TNP 6</w:t>
            </w:r>
          </w:p>
        </w:tc>
        <w:tc>
          <w:tcPr>
            <w:tcW w:w="4740" w:type="dxa"/>
            <w:shd w:val="clear" w:color="auto" w:fill="DEEAF6" w:themeFill="accent5" w:themeFillTint="33"/>
          </w:tcPr>
          <w:p w14:paraId="37D3B7EF" w14:textId="50DF654E" w:rsidR="00012B14" w:rsidRDefault="6B11ED21">
            <w:r>
              <w:t>Publikation wissenschaftlicher Ergebnisse, Vorstellung Zwischenergebnisse, Nachbesprechung Reaktionen M 2, Planung M</w:t>
            </w:r>
            <w:r w:rsidR="4CCEEA55">
              <w:t xml:space="preserve"> </w:t>
            </w:r>
            <w:r>
              <w:t>3</w:t>
            </w:r>
          </w:p>
          <w:p w14:paraId="567C72DF" w14:textId="07FC12DE" w:rsidR="00012B14" w:rsidRDefault="799481C1" w:rsidP="58059EBE">
            <w:r>
              <w:t>Arbeit in den Arbeitsgruppen lt. Projektplan</w:t>
            </w:r>
          </w:p>
          <w:p w14:paraId="1C09A46B" w14:textId="005AA39A" w:rsidR="00012B14" w:rsidRDefault="2175491B" w:rsidP="58059EBE">
            <w:pPr>
              <w:rPr>
                <w:i/>
                <w:iCs/>
              </w:rPr>
            </w:pPr>
            <w:r w:rsidRPr="58059EBE">
              <w:rPr>
                <w:i/>
                <w:iCs/>
              </w:rPr>
              <w:t>Narrationen</w:t>
            </w:r>
          </w:p>
        </w:tc>
        <w:tc>
          <w:tcPr>
            <w:tcW w:w="1629" w:type="dxa"/>
            <w:shd w:val="clear" w:color="auto" w:fill="DEEAF6" w:themeFill="accent5" w:themeFillTint="33"/>
          </w:tcPr>
          <w:p w14:paraId="5D85CD19" w14:textId="2625DC90" w:rsidR="00C534D7" w:rsidRDefault="00C534D7">
            <w:r>
              <w:t>Österreich</w:t>
            </w:r>
          </w:p>
          <w:p w14:paraId="38F56CAC" w14:textId="7BCEFC6A" w:rsidR="00012B14" w:rsidRDefault="5B47603B" w:rsidP="1CD7F106">
            <w:pPr>
              <w:spacing w:line="259" w:lineRule="auto"/>
            </w:pPr>
            <w:r>
              <w:t>BD Vorarlberg</w:t>
            </w:r>
          </w:p>
        </w:tc>
        <w:tc>
          <w:tcPr>
            <w:tcW w:w="1546" w:type="dxa"/>
            <w:shd w:val="clear" w:color="auto" w:fill="DEEAF6" w:themeFill="accent5" w:themeFillTint="33"/>
          </w:tcPr>
          <w:p w14:paraId="3A56C71F" w14:textId="3913A210" w:rsidR="00012B14" w:rsidRDefault="0584DE52" w:rsidP="43EFDDDA">
            <w:pPr>
              <w:spacing w:line="259" w:lineRule="auto"/>
            </w:pPr>
            <w:r>
              <w:t>Virtuell</w:t>
            </w:r>
          </w:p>
        </w:tc>
        <w:tc>
          <w:tcPr>
            <w:tcW w:w="1275" w:type="dxa"/>
            <w:shd w:val="clear" w:color="auto" w:fill="DEEAF6" w:themeFill="accent5" w:themeFillTint="33"/>
          </w:tcPr>
          <w:p w14:paraId="2E21B26D" w14:textId="77777777" w:rsidR="00012B14" w:rsidRDefault="00012B14"/>
        </w:tc>
        <w:tc>
          <w:tcPr>
            <w:tcW w:w="1290" w:type="dxa"/>
            <w:shd w:val="clear" w:color="auto" w:fill="DEEAF6" w:themeFill="accent5" w:themeFillTint="33"/>
          </w:tcPr>
          <w:p w14:paraId="5DC6C1FC" w14:textId="77777777" w:rsidR="00012B14" w:rsidRDefault="00012B14"/>
        </w:tc>
        <w:tc>
          <w:tcPr>
            <w:tcW w:w="1310" w:type="dxa"/>
            <w:shd w:val="clear" w:color="auto" w:fill="DEEAF6" w:themeFill="accent5" w:themeFillTint="33"/>
          </w:tcPr>
          <w:p w14:paraId="2D0CB7D7" w14:textId="77777777" w:rsidR="00012B14" w:rsidRDefault="00012B14"/>
        </w:tc>
        <w:tc>
          <w:tcPr>
            <w:tcW w:w="2351" w:type="dxa"/>
            <w:shd w:val="clear" w:color="auto" w:fill="DEEAF6" w:themeFill="accent5" w:themeFillTint="33"/>
          </w:tcPr>
          <w:p w14:paraId="5BF57E08" w14:textId="2D0A84DA" w:rsidR="00012B14" w:rsidRDefault="00F83E02">
            <w:r>
              <w:t>23.-25</w:t>
            </w:r>
            <w:r w:rsidR="00AC048C">
              <w:t>.4.2025</w:t>
            </w:r>
          </w:p>
        </w:tc>
      </w:tr>
      <w:tr w:rsidR="00092078" w14:paraId="2454A817" w14:textId="77777777" w:rsidTr="24817149">
        <w:tc>
          <w:tcPr>
            <w:tcW w:w="738" w:type="dxa"/>
            <w:shd w:val="clear" w:color="auto" w:fill="DEEAF6" w:themeFill="accent5" w:themeFillTint="33"/>
          </w:tcPr>
          <w:p w14:paraId="315EA2A9" w14:textId="1A564078" w:rsidR="00C534D7" w:rsidRDefault="00C534D7">
            <w:r>
              <w:t>TNP 7</w:t>
            </w:r>
          </w:p>
        </w:tc>
        <w:tc>
          <w:tcPr>
            <w:tcW w:w="4740" w:type="dxa"/>
            <w:shd w:val="clear" w:color="auto" w:fill="DEEAF6" w:themeFill="accent5" w:themeFillTint="33"/>
          </w:tcPr>
          <w:p w14:paraId="1692EB37" w14:textId="5DECA322" w:rsidR="00C534D7" w:rsidRDefault="00D235E9">
            <w:r>
              <w:t>Projektabschluss, Vorstellung aller Projektergebnisse, Vor- und Nachbesprechung M 3, Lessons Learned</w:t>
            </w:r>
          </w:p>
        </w:tc>
        <w:tc>
          <w:tcPr>
            <w:tcW w:w="1629" w:type="dxa"/>
            <w:shd w:val="clear" w:color="auto" w:fill="DEEAF6" w:themeFill="accent5" w:themeFillTint="33"/>
          </w:tcPr>
          <w:p w14:paraId="3446438F" w14:textId="77777777" w:rsidR="00C534D7" w:rsidRDefault="00C534D7">
            <w:r>
              <w:t>Österreich</w:t>
            </w:r>
          </w:p>
          <w:p w14:paraId="1D564AD7" w14:textId="6BAA9225" w:rsidR="00C534D7" w:rsidRDefault="00C534D7">
            <w:r>
              <w:t>PH NÖ</w:t>
            </w:r>
          </w:p>
        </w:tc>
        <w:tc>
          <w:tcPr>
            <w:tcW w:w="1546" w:type="dxa"/>
            <w:shd w:val="clear" w:color="auto" w:fill="DEEAF6" w:themeFill="accent5" w:themeFillTint="33"/>
          </w:tcPr>
          <w:p w14:paraId="1281D3E1" w14:textId="513E0290" w:rsidR="00C534D7" w:rsidRDefault="00C534D7">
            <w:r>
              <w:t>Präsenz</w:t>
            </w:r>
          </w:p>
        </w:tc>
        <w:tc>
          <w:tcPr>
            <w:tcW w:w="1275" w:type="dxa"/>
            <w:shd w:val="clear" w:color="auto" w:fill="DEEAF6" w:themeFill="accent5" w:themeFillTint="33"/>
          </w:tcPr>
          <w:p w14:paraId="19AA13F1" w14:textId="77777777" w:rsidR="00C534D7" w:rsidRDefault="00C534D7"/>
        </w:tc>
        <w:tc>
          <w:tcPr>
            <w:tcW w:w="1290" w:type="dxa"/>
            <w:shd w:val="clear" w:color="auto" w:fill="DEEAF6" w:themeFill="accent5" w:themeFillTint="33"/>
          </w:tcPr>
          <w:p w14:paraId="2CCBB6AE" w14:textId="77777777" w:rsidR="00C534D7" w:rsidRDefault="00C534D7"/>
        </w:tc>
        <w:tc>
          <w:tcPr>
            <w:tcW w:w="1310" w:type="dxa"/>
            <w:shd w:val="clear" w:color="auto" w:fill="DEEAF6" w:themeFill="accent5" w:themeFillTint="33"/>
          </w:tcPr>
          <w:p w14:paraId="1E2BF88C" w14:textId="77777777" w:rsidR="00C534D7" w:rsidRDefault="00C534D7"/>
        </w:tc>
        <w:tc>
          <w:tcPr>
            <w:tcW w:w="2351" w:type="dxa"/>
            <w:shd w:val="clear" w:color="auto" w:fill="DEEAF6" w:themeFill="accent5" w:themeFillTint="33"/>
          </w:tcPr>
          <w:p w14:paraId="17EAC357" w14:textId="48D3CC01" w:rsidR="00C534D7" w:rsidRDefault="00F83E02">
            <w:r>
              <w:t>21.-23</w:t>
            </w:r>
            <w:r w:rsidR="00DD1C96">
              <w:t>.10.2025</w:t>
            </w:r>
          </w:p>
        </w:tc>
      </w:tr>
      <w:tr w:rsidR="00092078" w14:paraId="5DC55B71" w14:textId="77777777" w:rsidTr="24817149">
        <w:tc>
          <w:tcPr>
            <w:tcW w:w="738" w:type="dxa"/>
            <w:shd w:val="clear" w:color="auto" w:fill="FFF2CC" w:themeFill="accent4" w:themeFillTint="33"/>
          </w:tcPr>
          <w:p w14:paraId="0DAEE5F1" w14:textId="645B9A05" w:rsidR="002C234E" w:rsidRDefault="00BE4CAF">
            <w:r>
              <w:t xml:space="preserve">M </w:t>
            </w:r>
            <w:r w:rsidR="002C234E">
              <w:t>3</w:t>
            </w:r>
          </w:p>
        </w:tc>
        <w:tc>
          <w:tcPr>
            <w:tcW w:w="4740" w:type="dxa"/>
            <w:shd w:val="clear" w:color="auto" w:fill="FFF2CC" w:themeFill="accent4" w:themeFillTint="33"/>
          </w:tcPr>
          <w:p w14:paraId="1E705EE8" w14:textId="5EB397FE" w:rsidR="002C234E" w:rsidRDefault="002C234E">
            <w:r>
              <w:t>CultureNature Literacy (CNL): Schulische Schlüsselkompetenzen für Zukunftsgestaltung im Ant</w:t>
            </w:r>
            <w:r w:rsidR="00FC7A97">
              <w:t>hropozän,</w:t>
            </w:r>
          </w:p>
          <w:p w14:paraId="504AB328" w14:textId="77777777" w:rsidR="00FC7A97" w:rsidRDefault="00FC7A97">
            <w:r>
              <w:t>Vorstellung aller Projektergebnisse inkl. Workshops zu noch zu definierenden Schwerpunktthemen</w:t>
            </w:r>
          </w:p>
          <w:p w14:paraId="7DD64E64" w14:textId="77777777" w:rsidR="002E6BE2" w:rsidRDefault="002E6BE2"/>
          <w:p w14:paraId="218A560E" w14:textId="77777777" w:rsidR="002E6BE2" w:rsidRDefault="002E6BE2" w:rsidP="002E6BE2">
            <w:r w:rsidRPr="005F7048">
              <w:rPr>
                <w:b/>
                <w:bCs/>
              </w:rPr>
              <w:t>Zielgruppen:</w:t>
            </w:r>
            <w:r>
              <w:t xml:space="preserve"> </w:t>
            </w:r>
          </w:p>
          <w:p w14:paraId="53141726" w14:textId="77777777" w:rsidR="002E6BE2" w:rsidRDefault="002E6BE2" w:rsidP="002E6BE2">
            <w:r>
              <w:t xml:space="preserve">Lehrende in der universitären und hochschulischen Lehrerbildung, Lehrkräfte aller Schulformen, die sich im Rahmen ihres fachlichen Unterrichts mit Themenfeldern kultureller Nachhaltigkeit auseinandersetzen. Gesamteuropäisch. Alle Partnerorganisationen laden über ihre Netzwerke zur Teilnahme ein. </w:t>
            </w:r>
          </w:p>
          <w:p w14:paraId="6C02A591" w14:textId="77777777" w:rsidR="002E6BE2" w:rsidRDefault="002E6BE2"/>
          <w:p w14:paraId="7B7AC01D" w14:textId="77777777" w:rsidR="002E6BE2" w:rsidRDefault="00A613CB">
            <w:r>
              <w:t>Keynotes: Carmen Sippl ad CNL als Schlüsselkompetenz im Anthropozän;</w:t>
            </w:r>
          </w:p>
          <w:p w14:paraId="68A16BC0" w14:textId="77777777" w:rsidR="00A613CB" w:rsidRDefault="00A613CB">
            <w:r>
              <w:t>Uta Hauck-Thum ad Kultur der Digitalität in Lehr-Lern-Prozessen; Workshops, Reflexionswerkstätten zum interdisziplinären Austausch, Projektvorstellungen; Mehrsprachiges Angebot</w:t>
            </w:r>
          </w:p>
          <w:p w14:paraId="540779EF" w14:textId="77777777" w:rsidR="00A613CB" w:rsidRDefault="00A613CB"/>
          <w:p w14:paraId="7B76ABBF" w14:textId="77777777" w:rsidR="00A613CB" w:rsidRPr="00A613CB" w:rsidRDefault="00A613CB">
            <w:pPr>
              <w:rPr>
                <w:b/>
                <w:bCs/>
              </w:rPr>
            </w:pPr>
            <w:r w:rsidRPr="00A613CB">
              <w:rPr>
                <w:b/>
                <w:bCs/>
              </w:rPr>
              <w:t xml:space="preserve">Ziel: </w:t>
            </w:r>
          </w:p>
          <w:p w14:paraId="09B80673" w14:textId="1385666F" w:rsidR="00A613CB" w:rsidRDefault="00A613CB">
            <w:r>
              <w:t>Präsentation des Konzepts „Anthropozänkompetenz“ und von CNL im Rahmen der Vorstellung der Projektergebnisse; Erprobung der Project Results in partizipativen multimedialen Formaten</w:t>
            </w:r>
          </w:p>
        </w:tc>
        <w:tc>
          <w:tcPr>
            <w:tcW w:w="1629" w:type="dxa"/>
            <w:shd w:val="clear" w:color="auto" w:fill="FFF2CC" w:themeFill="accent4" w:themeFillTint="33"/>
          </w:tcPr>
          <w:p w14:paraId="26978879" w14:textId="77777777" w:rsidR="002C234E" w:rsidRDefault="00FC7A97">
            <w:r>
              <w:lastRenderedPageBreak/>
              <w:t>Österreich</w:t>
            </w:r>
          </w:p>
          <w:p w14:paraId="73DC3095" w14:textId="27B4A6A9" w:rsidR="00033179" w:rsidRDefault="00033179">
            <w:r>
              <w:t>PH NÖ</w:t>
            </w:r>
          </w:p>
        </w:tc>
        <w:tc>
          <w:tcPr>
            <w:tcW w:w="1546" w:type="dxa"/>
            <w:shd w:val="clear" w:color="auto" w:fill="FFF2CC" w:themeFill="accent4" w:themeFillTint="33"/>
          </w:tcPr>
          <w:p w14:paraId="6140B6EB" w14:textId="6D9001F2" w:rsidR="002C234E" w:rsidRDefault="00CC1A0A">
            <w:r>
              <w:t>Hybrid</w:t>
            </w:r>
            <w:r w:rsidR="00FC7A97">
              <w:t xml:space="preserve"> – Green Event</w:t>
            </w:r>
            <w:r w:rsidR="00B331C6">
              <w:t>*</w:t>
            </w:r>
          </w:p>
        </w:tc>
        <w:tc>
          <w:tcPr>
            <w:tcW w:w="1275" w:type="dxa"/>
            <w:shd w:val="clear" w:color="auto" w:fill="FFF2CC" w:themeFill="accent4" w:themeFillTint="33"/>
          </w:tcPr>
          <w:p w14:paraId="0AB639B4" w14:textId="74E7B648" w:rsidR="002C234E" w:rsidRDefault="00FC7A97">
            <w:r>
              <w:t>80</w:t>
            </w:r>
          </w:p>
        </w:tc>
        <w:tc>
          <w:tcPr>
            <w:tcW w:w="1290" w:type="dxa"/>
            <w:shd w:val="clear" w:color="auto" w:fill="FFF2CC" w:themeFill="accent4" w:themeFillTint="33"/>
          </w:tcPr>
          <w:p w14:paraId="0BD06A30" w14:textId="77777777" w:rsidR="002C234E" w:rsidRDefault="002C234E"/>
        </w:tc>
        <w:tc>
          <w:tcPr>
            <w:tcW w:w="1310" w:type="dxa"/>
            <w:shd w:val="clear" w:color="auto" w:fill="FFF2CC" w:themeFill="accent4" w:themeFillTint="33"/>
          </w:tcPr>
          <w:p w14:paraId="558664F7" w14:textId="1E15999F" w:rsidR="002C234E" w:rsidRDefault="00FC7A97">
            <w:r>
              <w:t>50</w:t>
            </w:r>
          </w:p>
        </w:tc>
        <w:tc>
          <w:tcPr>
            <w:tcW w:w="2351" w:type="dxa"/>
            <w:shd w:val="clear" w:color="auto" w:fill="FFF2CC" w:themeFill="accent4" w:themeFillTint="33"/>
          </w:tcPr>
          <w:p w14:paraId="1FDC340B" w14:textId="7DA8055D" w:rsidR="002C234E" w:rsidRDefault="00F83E02">
            <w:r>
              <w:t>22</w:t>
            </w:r>
            <w:r w:rsidR="1AF91FB1">
              <w:t>.10.2025</w:t>
            </w:r>
          </w:p>
        </w:tc>
      </w:tr>
    </w:tbl>
    <w:p w14:paraId="2C59A1AC" w14:textId="70106A50" w:rsidR="009127D9" w:rsidRDefault="009127D9"/>
    <w:p w14:paraId="40CB8449" w14:textId="5A9EBCDC" w:rsidR="00033179" w:rsidRDefault="00033179"/>
    <w:p w14:paraId="16C023AF" w14:textId="1C9EE130" w:rsidR="00033179" w:rsidRPr="00B331C6" w:rsidRDefault="00B331C6">
      <w:pPr>
        <w:rPr>
          <w:b/>
          <w:bCs/>
        </w:rPr>
      </w:pPr>
      <w:r w:rsidRPr="36945B3E">
        <w:rPr>
          <w:b/>
          <w:bCs/>
        </w:rPr>
        <w:t>*</w:t>
      </w:r>
      <w:r w:rsidR="00845535" w:rsidRPr="36945B3E">
        <w:rPr>
          <w:b/>
          <w:bCs/>
        </w:rPr>
        <w:t xml:space="preserve">Beschreibung </w:t>
      </w:r>
      <w:r w:rsidR="00033179" w:rsidRPr="36945B3E">
        <w:rPr>
          <w:b/>
          <w:bCs/>
        </w:rPr>
        <w:t>Green Event</w:t>
      </w:r>
      <w:r w:rsidR="00845535" w:rsidRPr="36945B3E">
        <w:rPr>
          <w:b/>
          <w:bCs/>
        </w:rPr>
        <w:t>s</w:t>
      </w:r>
      <w:r w:rsidR="00033179" w:rsidRPr="36945B3E">
        <w:rPr>
          <w:b/>
          <w:bCs/>
        </w:rPr>
        <w:t>:</w:t>
      </w:r>
    </w:p>
    <w:p w14:paraId="42BA9300" w14:textId="2962AB91" w:rsidR="50AAEDDB" w:rsidRDefault="6A3E3EB8" w:rsidP="5099F7C6">
      <w:pPr>
        <w:rPr>
          <w:rFonts w:ascii="Calibri" w:eastAsia="Calibri" w:hAnsi="Calibri" w:cs="Calibri"/>
          <w:b/>
          <w:bCs/>
        </w:rPr>
      </w:pPr>
      <w:r w:rsidRPr="43EFDDDA">
        <w:rPr>
          <w:rFonts w:ascii="Calibri" w:eastAsia="Calibri" w:hAnsi="Calibri" w:cs="Calibri"/>
        </w:rPr>
        <w:t>Das Nachhaltigkeitsthema und die Änderung gesellschaftlicher Strukturen machen ein Umdenken notwendig.</w:t>
      </w:r>
      <w:r w:rsidRPr="43EFDDDA">
        <w:rPr>
          <w:b/>
          <w:bCs/>
        </w:rPr>
        <w:t xml:space="preserve"> </w:t>
      </w:r>
      <w:r w:rsidR="50AAEDDB" w:rsidRPr="43EFDDDA">
        <w:rPr>
          <w:b/>
          <w:bCs/>
        </w:rPr>
        <w:t xml:space="preserve">Wir veranstalten </w:t>
      </w:r>
      <w:r w:rsidR="347A224F" w:rsidRPr="43EFDDDA">
        <w:rPr>
          <w:b/>
          <w:bCs/>
        </w:rPr>
        <w:t>da</w:t>
      </w:r>
      <w:r w:rsidR="270618EB" w:rsidRPr="43EFDDDA">
        <w:rPr>
          <w:b/>
          <w:bCs/>
        </w:rPr>
        <w:t>h</w:t>
      </w:r>
      <w:r w:rsidR="347A224F" w:rsidRPr="43EFDDDA">
        <w:rPr>
          <w:b/>
          <w:bCs/>
        </w:rPr>
        <w:t xml:space="preserve">er </w:t>
      </w:r>
      <w:r w:rsidR="50AAEDDB" w:rsidRPr="43EFDDDA">
        <w:rPr>
          <w:b/>
          <w:bCs/>
        </w:rPr>
        <w:t xml:space="preserve">Green Events, weil wir </w:t>
      </w:r>
      <w:r w:rsidR="54D85066" w:rsidRPr="43EFDDDA">
        <w:rPr>
          <w:b/>
          <w:bCs/>
        </w:rPr>
        <w:t>di</w:t>
      </w:r>
      <w:r w:rsidR="54D85066" w:rsidRPr="43EFDDDA">
        <w:rPr>
          <w:rFonts w:ascii="Calibri" w:eastAsia="Calibri" w:hAnsi="Calibri" w:cs="Calibri"/>
          <w:b/>
          <w:bCs/>
        </w:rPr>
        <w:t>e ökologische, soziale, ökonomische und kulturelle Nachhaltigkeit berücksichtigen wollen. Green Events reduzieren Umweltbelastungen, schonen Ressourcen und unterstützen die regionale Wirtschaft. Wir sind davon überzeugt, dass ein Green Event die Qualität jeder Veranstaltung steigert.</w:t>
      </w:r>
    </w:p>
    <w:p w14:paraId="496199F9" w14:textId="39631473" w:rsidR="00033179" w:rsidRDefault="00033179">
      <w:r>
        <w:t>Catering mit biologischen, regionalen und fair gehandelten Getränken und Lebensmitteln</w:t>
      </w:r>
      <w:r w:rsidR="00845535">
        <w:t>;</w:t>
      </w:r>
    </w:p>
    <w:p w14:paraId="43D39CF4" w14:textId="6AFD837C" w:rsidR="003E1D37" w:rsidRDefault="003E1D37">
      <w:r>
        <w:t>Abfallvermeidung</w:t>
      </w:r>
      <w:r w:rsidR="00845535">
        <w:t xml:space="preserve">: </w:t>
      </w:r>
      <w:r>
        <w:t>Getränke werden in Mehrweggebinden eingekauft. Getränkeausschank in Porzellantassen, Gläser oder Mehrwegkunststoffbecher</w:t>
      </w:r>
      <w:r w:rsidR="00845535">
        <w:t>;</w:t>
      </w:r>
      <w:r>
        <w:t xml:space="preserve"> </w:t>
      </w:r>
      <w:r w:rsidR="00845535">
        <w:t>Verwendung von</w:t>
      </w:r>
      <w:r>
        <w:t xml:space="preserve"> Mehrweg</w:t>
      </w:r>
      <w:r w:rsidR="00B331C6">
        <w:t xml:space="preserve">geschirr </w:t>
      </w:r>
      <w:r w:rsidR="00845535">
        <w:t>bei Speisen</w:t>
      </w:r>
      <w:r w:rsidR="00B331C6">
        <w:t xml:space="preserve">. Angebot von Leitungswasser. </w:t>
      </w:r>
      <w:r w:rsidR="00845535">
        <w:t xml:space="preserve">Vermeidung von </w:t>
      </w:r>
      <w:r w:rsidR="00B331C6">
        <w:t xml:space="preserve">Einmalportionsverpackungen. </w:t>
      </w:r>
    </w:p>
    <w:p w14:paraId="37583A8E" w14:textId="1C077EE0" w:rsidR="00033179" w:rsidRDefault="003E1D37">
      <w:r>
        <w:lastRenderedPageBreak/>
        <w:t>Veranstaltungsort mit öffentlichen Verkehrsmitteln bzw. zu Fuß erreichbar, Hinweis auf umweltschonende Angebot</w:t>
      </w:r>
      <w:r w:rsidR="00845535">
        <w:t>e</w:t>
      </w:r>
      <w:r>
        <w:t xml:space="preserve"> im Hotel (Wechsel von Handtüchern und Bettlaken nur bei Bedarf, etc.), Entsorgung von Abfall über getrennte Sammlung, </w:t>
      </w:r>
      <w:r w:rsidR="00B91014">
        <w:t>Virtuell</w:t>
      </w:r>
      <w:r>
        <w:t>-Registrierung und digitale Materialien anstelle von Papierausdrucken und Handouts, Hinweis auf eigene Schreibutensilien</w:t>
      </w:r>
      <w:r w:rsidR="00845535">
        <w:t>.</w:t>
      </w:r>
    </w:p>
    <w:p w14:paraId="74F52BF3" w14:textId="4A4016B9" w:rsidR="00B331C6" w:rsidRDefault="00B331C6">
      <w:r>
        <w:t>Barrierefreie Ang</w:t>
      </w:r>
      <w:r w:rsidR="000D1549">
        <w:t>e</w:t>
      </w:r>
      <w:r>
        <w:t>bote für Teilnehmer*innen mit Mobilitäts-, Hör- oder Seh-Beeinträchtigungen werden frühzeitig kommuniziert.</w:t>
      </w:r>
    </w:p>
    <w:p w14:paraId="34710548" w14:textId="3998BE9F" w:rsidR="00B331C6" w:rsidRDefault="00B331C6">
      <w:r>
        <w:t>Die Veranstalter*innen kommunizieren den beteiligten Lieferant*innen und Mitarbeiter*innen frühzeitig die Green Event Maßnahmen.</w:t>
      </w:r>
    </w:p>
    <w:p w14:paraId="33D5A657" w14:textId="265B2382" w:rsidR="006E1506" w:rsidRDefault="006E1506"/>
    <w:p w14:paraId="116E0C25" w14:textId="45D499B8" w:rsidR="006E1506" w:rsidRDefault="006E1506"/>
    <w:p w14:paraId="0819FD1E" w14:textId="77777777" w:rsidR="006E1506" w:rsidRDefault="006E1506"/>
    <w:sectPr w:rsidR="006E1506" w:rsidSect="009127D9">
      <w:footerReference w:type="default" r:id="rId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25AC" w14:textId="77777777" w:rsidR="0072531B" w:rsidRDefault="0072531B" w:rsidP="0072531B">
      <w:pPr>
        <w:spacing w:after="0" w:line="240" w:lineRule="auto"/>
      </w:pPr>
      <w:r>
        <w:separator/>
      </w:r>
    </w:p>
  </w:endnote>
  <w:endnote w:type="continuationSeparator" w:id="0">
    <w:p w14:paraId="160763BC" w14:textId="77777777" w:rsidR="0072531B" w:rsidRDefault="0072531B" w:rsidP="0072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88B0" w14:textId="6D8FBF4A" w:rsidR="0072531B" w:rsidRDefault="0072531B">
    <w:pPr>
      <w:pStyle w:val="Fuzeile"/>
    </w:pPr>
    <w:r>
      <w:t>V</w:t>
    </w:r>
    <w:r w:rsidR="00E31019">
      <w:t>3</w:t>
    </w:r>
    <w:r>
      <w:t xml:space="preserve"> – </w:t>
    </w:r>
    <w:r w:rsidR="00E31019">
      <w:t>11</w:t>
    </w:r>
    <w:r>
      <w:t>-0</w:t>
    </w:r>
    <w:r w:rsidR="00E31019">
      <w:t>4</w:t>
    </w:r>
    <w:r>
      <w:t>-202</w:t>
    </w:r>
    <w:r w:rsidR="00E31019">
      <w:t>4</w:t>
    </w:r>
    <w:r>
      <w:t>/tsc</w:t>
    </w:r>
  </w:p>
  <w:p w14:paraId="69672331" w14:textId="77777777" w:rsidR="0072531B" w:rsidRDefault="007253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B08A" w14:textId="77777777" w:rsidR="0072531B" w:rsidRDefault="0072531B" w:rsidP="0072531B">
      <w:pPr>
        <w:spacing w:after="0" w:line="240" w:lineRule="auto"/>
      </w:pPr>
      <w:r>
        <w:separator/>
      </w:r>
    </w:p>
  </w:footnote>
  <w:footnote w:type="continuationSeparator" w:id="0">
    <w:p w14:paraId="47996C6C" w14:textId="77777777" w:rsidR="0072531B" w:rsidRDefault="0072531B" w:rsidP="0072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A6C"/>
    <w:multiLevelType w:val="multilevel"/>
    <w:tmpl w:val="13AE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518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E0"/>
    <w:rsid w:val="00012B14"/>
    <w:rsid w:val="00033179"/>
    <w:rsid w:val="00092078"/>
    <w:rsid w:val="000D1549"/>
    <w:rsid w:val="001030CA"/>
    <w:rsid w:val="0010509F"/>
    <w:rsid w:val="00134E58"/>
    <w:rsid w:val="001C024B"/>
    <w:rsid w:val="001F667C"/>
    <w:rsid w:val="002023B4"/>
    <w:rsid w:val="00261D4F"/>
    <w:rsid w:val="002B025B"/>
    <w:rsid w:val="002C234E"/>
    <w:rsid w:val="002C578F"/>
    <w:rsid w:val="002E6BE2"/>
    <w:rsid w:val="00342222"/>
    <w:rsid w:val="003E1D37"/>
    <w:rsid w:val="003F4DDE"/>
    <w:rsid w:val="004020B2"/>
    <w:rsid w:val="00407398"/>
    <w:rsid w:val="00514A5A"/>
    <w:rsid w:val="00577BE4"/>
    <w:rsid w:val="00584402"/>
    <w:rsid w:val="005874DC"/>
    <w:rsid w:val="005F25DE"/>
    <w:rsid w:val="005F7048"/>
    <w:rsid w:val="00616B14"/>
    <w:rsid w:val="006E1506"/>
    <w:rsid w:val="0072531B"/>
    <w:rsid w:val="00767901"/>
    <w:rsid w:val="00770360"/>
    <w:rsid w:val="00845535"/>
    <w:rsid w:val="008A4144"/>
    <w:rsid w:val="008D68B3"/>
    <w:rsid w:val="009127D9"/>
    <w:rsid w:val="00921339"/>
    <w:rsid w:val="009C3260"/>
    <w:rsid w:val="009D67D5"/>
    <w:rsid w:val="00A461E0"/>
    <w:rsid w:val="00A613CB"/>
    <w:rsid w:val="00AC048C"/>
    <w:rsid w:val="00AF14F1"/>
    <w:rsid w:val="00B03501"/>
    <w:rsid w:val="00B331C6"/>
    <w:rsid w:val="00B370A1"/>
    <w:rsid w:val="00B437C3"/>
    <w:rsid w:val="00B66E70"/>
    <w:rsid w:val="00B80A89"/>
    <w:rsid w:val="00B91014"/>
    <w:rsid w:val="00BA6244"/>
    <w:rsid w:val="00BB3A5A"/>
    <w:rsid w:val="00BD280A"/>
    <w:rsid w:val="00BE4CAF"/>
    <w:rsid w:val="00C534D7"/>
    <w:rsid w:val="00C7150D"/>
    <w:rsid w:val="00CC1A0A"/>
    <w:rsid w:val="00D235E9"/>
    <w:rsid w:val="00D315D4"/>
    <w:rsid w:val="00D445C6"/>
    <w:rsid w:val="00D46554"/>
    <w:rsid w:val="00D66DE1"/>
    <w:rsid w:val="00DB0DC0"/>
    <w:rsid w:val="00DD1C96"/>
    <w:rsid w:val="00E31019"/>
    <w:rsid w:val="00E64A6E"/>
    <w:rsid w:val="00E879DD"/>
    <w:rsid w:val="00F134E2"/>
    <w:rsid w:val="00F70FD2"/>
    <w:rsid w:val="00F83E02"/>
    <w:rsid w:val="00F951F6"/>
    <w:rsid w:val="00FC7A97"/>
    <w:rsid w:val="02FB135F"/>
    <w:rsid w:val="03062622"/>
    <w:rsid w:val="05351D38"/>
    <w:rsid w:val="0537EA5B"/>
    <w:rsid w:val="0584DE52"/>
    <w:rsid w:val="07532496"/>
    <w:rsid w:val="076A6287"/>
    <w:rsid w:val="0C24C1F0"/>
    <w:rsid w:val="0D4CC6C9"/>
    <w:rsid w:val="0DA3E5DD"/>
    <w:rsid w:val="0F16C304"/>
    <w:rsid w:val="0F33633F"/>
    <w:rsid w:val="10CF33A0"/>
    <w:rsid w:val="11BC4733"/>
    <w:rsid w:val="126B0401"/>
    <w:rsid w:val="1284AF51"/>
    <w:rsid w:val="16BE2061"/>
    <w:rsid w:val="16E3AFD7"/>
    <w:rsid w:val="175CCFB5"/>
    <w:rsid w:val="189A06E8"/>
    <w:rsid w:val="19DFBBAA"/>
    <w:rsid w:val="1AF91FB1"/>
    <w:rsid w:val="1CD7F106"/>
    <w:rsid w:val="1E237520"/>
    <w:rsid w:val="1F344816"/>
    <w:rsid w:val="20213777"/>
    <w:rsid w:val="206AFD85"/>
    <w:rsid w:val="2175491B"/>
    <w:rsid w:val="21D5521C"/>
    <w:rsid w:val="228B38F2"/>
    <w:rsid w:val="22EABA3B"/>
    <w:rsid w:val="239E78B6"/>
    <w:rsid w:val="24817149"/>
    <w:rsid w:val="268B09CF"/>
    <w:rsid w:val="270618EB"/>
    <w:rsid w:val="2A2C655A"/>
    <w:rsid w:val="2D102550"/>
    <w:rsid w:val="2E517344"/>
    <w:rsid w:val="32A27989"/>
    <w:rsid w:val="33675783"/>
    <w:rsid w:val="347A224F"/>
    <w:rsid w:val="36945B3E"/>
    <w:rsid w:val="3C06E5EE"/>
    <w:rsid w:val="3EE18496"/>
    <w:rsid w:val="40D200D2"/>
    <w:rsid w:val="419961CD"/>
    <w:rsid w:val="42684FAC"/>
    <w:rsid w:val="435AF92C"/>
    <w:rsid w:val="43EFDDDA"/>
    <w:rsid w:val="47DDB005"/>
    <w:rsid w:val="482F8816"/>
    <w:rsid w:val="4B162E65"/>
    <w:rsid w:val="4B74FC4A"/>
    <w:rsid w:val="4CCEEA55"/>
    <w:rsid w:val="4D625704"/>
    <w:rsid w:val="4D6C13DF"/>
    <w:rsid w:val="4EFE2765"/>
    <w:rsid w:val="4F6CF547"/>
    <w:rsid w:val="5099F7C6"/>
    <w:rsid w:val="50AAEDDB"/>
    <w:rsid w:val="531710C9"/>
    <w:rsid w:val="53322D9B"/>
    <w:rsid w:val="53CF6882"/>
    <w:rsid w:val="541717A9"/>
    <w:rsid w:val="54CDFDFC"/>
    <w:rsid w:val="54D0A2E1"/>
    <w:rsid w:val="54D85066"/>
    <w:rsid w:val="56311B61"/>
    <w:rsid w:val="58059EBE"/>
    <w:rsid w:val="5A19EF55"/>
    <w:rsid w:val="5B282193"/>
    <w:rsid w:val="5B47603B"/>
    <w:rsid w:val="5E946CF4"/>
    <w:rsid w:val="5F2D0E46"/>
    <w:rsid w:val="5F4D8ABE"/>
    <w:rsid w:val="63D44C7B"/>
    <w:rsid w:val="648FCF61"/>
    <w:rsid w:val="64C7ABF0"/>
    <w:rsid w:val="65236B26"/>
    <w:rsid w:val="661981A9"/>
    <w:rsid w:val="675A8CBD"/>
    <w:rsid w:val="67B5520A"/>
    <w:rsid w:val="68AC8D3B"/>
    <w:rsid w:val="69FEA18A"/>
    <w:rsid w:val="6A3E3EB8"/>
    <w:rsid w:val="6AB88F7B"/>
    <w:rsid w:val="6AC6E5B6"/>
    <w:rsid w:val="6B11ED21"/>
    <w:rsid w:val="6C18307D"/>
    <w:rsid w:val="6D3F61BD"/>
    <w:rsid w:val="6E4021AF"/>
    <w:rsid w:val="701F9891"/>
    <w:rsid w:val="72C1B8EB"/>
    <w:rsid w:val="735CEED9"/>
    <w:rsid w:val="74555140"/>
    <w:rsid w:val="75AC4A84"/>
    <w:rsid w:val="7661C16B"/>
    <w:rsid w:val="76A8B6DA"/>
    <w:rsid w:val="76C9DCA3"/>
    <w:rsid w:val="77A0966C"/>
    <w:rsid w:val="799481C1"/>
    <w:rsid w:val="79E25867"/>
    <w:rsid w:val="7C71B79F"/>
    <w:rsid w:val="7C7463ED"/>
    <w:rsid w:val="7D54539C"/>
    <w:rsid w:val="7D932F33"/>
    <w:rsid w:val="7E59330B"/>
    <w:rsid w:val="7F746D59"/>
    <w:rsid w:val="7F83AFF2"/>
    <w:rsid w:val="7FFB182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A72F"/>
  <w15:chartTrackingRefBased/>
  <w15:docId w15:val="{9449295F-650A-4D83-9415-B1416C1C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1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253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531B"/>
  </w:style>
  <w:style w:type="paragraph" w:styleId="Fuzeile">
    <w:name w:val="footer"/>
    <w:basedOn w:val="Standard"/>
    <w:link w:val="FuzeileZchn"/>
    <w:uiPriority w:val="99"/>
    <w:unhideWhenUsed/>
    <w:rsid w:val="007253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531B"/>
  </w:style>
  <w:style w:type="character" w:customStyle="1" w:styleId="normaltextrun">
    <w:name w:val="normaltextrun"/>
    <w:basedOn w:val="Absatz-Standardschriftart"/>
    <w:rsid w:val="00134E58"/>
  </w:style>
  <w:style w:type="character" w:customStyle="1" w:styleId="eop">
    <w:name w:val="eop"/>
    <w:basedOn w:val="Absatz-Standardschriftart"/>
    <w:rsid w:val="00134E58"/>
  </w:style>
  <w:style w:type="paragraph" w:customStyle="1" w:styleId="paragraph">
    <w:name w:val="paragraph"/>
    <w:basedOn w:val="Standard"/>
    <w:rsid w:val="00134E58"/>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1267">
      <w:bodyDiv w:val="1"/>
      <w:marLeft w:val="0"/>
      <w:marRight w:val="0"/>
      <w:marTop w:val="0"/>
      <w:marBottom w:val="0"/>
      <w:divBdr>
        <w:top w:val="none" w:sz="0" w:space="0" w:color="auto"/>
        <w:left w:val="none" w:sz="0" w:space="0" w:color="auto"/>
        <w:bottom w:val="none" w:sz="0" w:space="0" w:color="auto"/>
        <w:right w:val="none" w:sz="0" w:space="0" w:color="auto"/>
      </w:divBdr>
      <w:divsChild>
        <w:div w:id="1176574220">
          <w:marLeft w:val="0"/>
          <w:marRight w:val="0"/>
          <w:marTop w:val="0"/>
          <w:marBottom w:val="0"/>
          <w:divBdr>
            <w:top w:val="none" w:sz="0" w:space="0" w:color="auto"/>
            <w:left w:val="none" w:sz="0" w:space="0" w:color="auto"/>
            <w:bottom w:val="none" w:sz="0" w:space="0" w:color="auto"/>
            <w:right w:val="none" w:sz="0" w:space="0" w:color="auto"/>
          </w:divBdr>
        </w:div>
        <w:div w:id="1828478009">
          <w:marLeft w:val="0"/>
          <w:marRight w:val="0"/>
          <w:marTop w:val="0"/>
          <w:marBottom w:val="0"/>
          <w:divBdr>
            <w:top w:val="none" w:sz="0" w:space="0" w:color="auto"/>
            <w:left w:val="none" w:sz="0" w:space="0" w:color="auto"/>
            <w:bottom w:val="none" w:sz="0" w:space="0" w:color="auto"/>
            <w:right w:val="none" w:sz="0" w:space="0" w:color="auto"/>
          </w:divBdr>
        </w:div>
      </w:divsChild>
    </w:div>
    <w:div w:id="1130628086">
      <w:bodyDiv w:val="1"/>
      <w:marLeft w:val="0"/>
      <w:marRight w:val="0"/>
      <w:marTop w:val="0"/>
      <w:marBottom w:val="0"/>
      <w:divBdr>
        <w:top w:val="none" w:sz="0" w:space="0" w:color="auto"/>
        <w:left w:val="none" w:sz="0" w:space="0" w:color="auto"/>
        <w:bottom w:val="none" w:sz="0" w:space="0" w:color="auto"/>
        <w:right w:val="none" w:sz="0" w:space="0" w:color="auto"/>
      </w:divBdr>
      <w:divsChild>
        <w:div w:id="2124953820">
          <w:marLeft w:val="0"/>
          <w:marRight w:val="0"/>
          <w:marTop w:val="0"/>
          <w:marBottom w:val="0"/>
          <w:divBdr>
            <w:top w:val="none" w:sz="0" w:space="0" w:color="auto"/>
            <w:left w:val="none" w:sz="0" w:space="0" w:color="auto"/>
            <w:bottom w:val="none" w:sz="0" w:space="0" w:color="auto"/>
            <w:right w:val="none" w:sz="0" w:space="0" w:color="auto"/>
          </w:divBdr>
        </w:div>
        <w:div w:id="1794513810">
          <w:marLeft w:val="0"/>
          <w:marRight w:val="0"/>
          <w:marTop w:val="0"/>
          <w:marBottom w:val="0"/>
          <w:divBdr>
            <w:top w:val="none" w:sz="0" w:space="0" w:color="auto"/>
            <w:left w:val="none" w:sz="0" w:space="0" w:color="auto"/>
            <w:bottom w:val="none" w:sz="0" w:space="0" w:color="auto"/>
            <w:right w:val="none" w:sz="0" w:space="0" w:color="auto"/>
          </w:divBdr>
        </w:div>
      </w:divsChild>
    </w:div>
    <w:div w:id="1203010916">
      <w:bodyDiv w:val="1"/>
      <w:marLeft w:val="0"/>
      <w:marRight w:val="0"/>
      <w:marTop w:val="0"/>
      <w:marBottom w:val="0"/>
      <w:divBdr>
        <w:top w:val="none" w:sz="0" w:space="0" w:color="auto"/>
        <w:left w:val="none" w:sz="0" w:space="0" w:color="auto"/>
        <w:bottom w:val="none" w:sz="0" w:space="0" w:color="auto"/>
        <w:right w:val="none" w:sz="0" w:space="0" w:color="auto"/>
      </w:divBdr>
      <w:divsChild>
        <w:div w:id="660306946">
          <w:marLeft w:val="0"/>
          <w:marRight w:val="0"/>
          <w:marTop w:val="0"/>
          <w:marBottom w:val="0"/>
          <w:divBdr>
            <w:top w:val="none" w:sz="0" w:space="0" w:color="auto"/>
            <w:left w:val="none" w:sz="0" w:space="0" w:color="auto"/>
            <w:bottom w:val="none" w:sz="0" w:space="0" w:color="auto"/>
            <w:right w:val="none" w:sz="0" w:space="0" w:color="auto"/>
          </w:divBdr>
        </w:div>
        <w:div w:id="1962568006">
          <w:marLeft w:val="0"/>
          <w:marRight w:val="0"/>
          <w:marTop w:val="0"/>
          <w:marBottom w:val="0"/>
          <w:divBdr>
            <w:top w:val="none" w:sz="0" w:space="0" w:color="auto"/>
            <w:left w:val="none" w:sz="0" w:space="0" w:color="auto"/>
            <w:bottom w:val="none" w:sz="0" w:space="0" w:color="auto"/>
            <w:right w:val="none" w:sz="0" w:space="0" w:color="auto"/>
          </w:divBdr>
        </w:div>
      </w:divsChild>
    </w:div>
    <w:div w:id="20800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1112</Words>
  <Characters>7009</Characters>
  <Application>Microsoft Office Word</Application>
  <DocSecurity>0</DocSecurity>
  <Lines>58</Lines>
  <Paragraphs>16</Paragraphs>
  <ScaleCrop>false</ScaleCrop>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Tscherne Michaela</dc:creator>
  <cp:keywords/>
  <dc:description/>
  <cp:lastModifiedBy>Michaela Tscherne</cp:lastModifiedBy>
  <cp:revision>7</cp:revision>
  <dcterms:created xsi:type="dcterms:W3CDTF">2023-08-09T19:12:00Z</dcterms:created>
  <dcterms:modified xsi:type="dcterms:W3CDTF">2024-04-27T19:37:00Z</dcterms:modified>
</cp:coreProperties>
</file>